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7B446192" w:rsidR="00C01834" w:rsidRPr="00AD2F54" w:rsidRDefault="00EF1F36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C555B0" wp14:editId="39A20FA8">
                <wp:simplePos x="0" y="0"/>
                <wp:positionH relativeFrom="column">
                  <wp:posOffset>1818005</wp:posOffset>
                </wp:positionH>
                <wp:positionV relativeFrom="paragraph">
                  <wp:posOffset>2540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1E1A3" w14:textId="77777777" w:rsidR="00292303" w:rsidRDefault="00EF1F36" w:rsidP="00EF1F36">
                            <w:pPr>
                              <w:ind w:left="0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CF2B9CB" w14:textId="422E96B2" w:rsidR="00EF1F36" w:rsidRPr="009D2B02" w:rsidRDefault="00292303" w:rsidP="00292303">
                            <w:pPr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9D2B02">
                              <w:rPr>
                                <w:rFonts w:ascii="Calibri Light" w:hAnsi="Calibri Light" w:cs="Calibri Light"/>
                                <w:color w:val="auto"/>
                                <w:sz w:val="32"/>
                                <w:szCs w:val="32"/>
                              </w:rPr>
                              <w:t xml:space="preserve">Synteza </w:t>
                            </w:r>
                            <w:r w:rsidR="00F279F4" w:rsidRPr="009D2B02">
                              <w:rPr>
                                <w:rFonts w:ascii="Calibri Light" w:hAnsi="Calibri Light" w:cs="Calibri Light"/>
                                <w:color w:val="auto"/>
                                <w:sz w:val="32"/>
                                <w:szCs w:val="32"/>
                              </w:rPr>
                              <w:t xml:space="preserve">i technologia </w:t>
                            </w:r>
                            <w:r w:rsidRPr="009D2B02">
                              <w:rPr>
                                <w:rFonts w:ascii="Calibri Light" w:hAnsi="Calibri Light" w:cs="Calibri Light"/>
                                <w:color w:val="auto"/>
                                <w:sz w:val="32"/>
                                <w:szCs w:val="32"/>
                              </w:rPr>
                              <w:t>środków leczniczych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55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3.15pt;margin-top:.2pt;width:360.95pt;height:69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2&#10;6mTx3wAAAAkBAAAPAAAAAAAAAAAAAAAAAGkEAABkcnMvZG93bnJldi54bWxQSwUGAAAAAAQABADz&#10;AAAAdQUAAAAA&#10;">
                <v:textbox>
                  <w:txbxContent>
                    <w:p w14:paraId="7CD1E1A3" w14:textId="77777777" w:rsidR="00292303" w:rsidRDefault="00EF1F36" w:rsidP="00EF1F36">
                      <w:pPr>
                        <w:ind w:left="0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CF2B9CB" w14:textId="422E96B2" w:rsidR="00EF1F36" w:rsidRPr="009D2B02" w:rsidRDefault="00292303" w:rsidP="00292303">
                      <w:pPr>
                        <w:ind w:left="0"/>
                        <w:jc w:val="center"/>
                        <w:rPr>
                          <w:color w:val="auto"/>
                        </w:rPr>
                      </w:pPr>
                      <w:r w:rsidRPr="009D2B02">
                        <w:rPr>
                          <w:rFonts w:ascii="Calibri Light" w:hAnsi="Calibri Light" w:cs="Calibri Light"/>
                          <w:color w:val="auto"/>
                          <w:sz w:val="32"/>
                          <w:szCs w:val="32"/>
                        </w:rPr>
                        <w:t xml:space="preserve">Synteza </w:t>
                      </w:r>
                      <w:r w:rsidR="00F279F4" w:rsidRPr="009D2B02">
                        <w:rPr>
                          <w:rFonts w:ascii="Calibri Light" w:hAnsi="Calibri Light" w:cs="Calibri Light"/>
                          <w:color w:val="auto"/>
                          <w:sz w:val="32"/>
                          <w:szCs w:val="32"/>
                        </w:rPr>
                        <w:t xml:space="preserve">i technologia </w:t>
                      </w:r>
                      <w:r w:rsidRPr="009D2B02">
                        <w:rPr>
                          <w:rFonts w:ascii="Calibri Light" w:hAnsi="Calibri Light" w:cs="Calibri Light"/>
                          <w:color w:val="auto"/>
                          <w:sz w:val="32"/>
                          <w:szCs w:val="32"/>
                        </w:rPr>
                        <w:t>środków leczniczych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2ECE"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669CDF8A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7DDF5171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EF1F36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A5D9D80" w14:textId="7519BD04" w:rsidR="009E635F" w:rsidRPr="00C92ECE" w:rsidRDefault="009E635F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C92ECE">
              <w:rPr>
                <w:b/>
                <w:smallCaps/>
                <w:color w:val="auto"/>
                <w:sz w:val="24"/>
                <w:szCs w:val="24"/>
              </w:rPr>
              <w:t>Metryczka</w:t>
            </w:r>
          </w:p>
        </w:tc>
      </w:tr>
      <w:tr w:rsidR="000B6530" w:rsidRPr="00C01834" w14:paraId="29DFFF33" w14:textId="77777777" w:rsidTr="00B973EC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28B60A6F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</w:t>
            </w:r>
            <w:r w:rsidR="003B6B08">
              <w:rPr>
                <w:color w:val="auto"/>
              </w:rPr>
              <w:t>5</w:t>
            </w:r>
            <w:r>
              <w:rPr>
                <w:color w:val="auto"/>
              </w:rPr>
              <w:t>/202</w:t>
            </w:r>
            <w:r w:rsidR="003B6B08">
              <w:rPr>
                <w:color w:val="auto"/>
              </w:rPr>
              <w:t>6</w:t>
            </w:r>
          </w:p>
        </w:tc>
      </w:tr>
      <w:tr w:rsidR="000B6530" w:rsidRPr="00C01834" w14:paraId="20267CE8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AF69107" w14:textId="1EDC0C89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Farmaceutyczny</w:t>
            </w:r>
          </w:p>
        </w:tc>
      </w:tr>
      <w:tr w:rsidR="000B6530" w:rsidRPr="00C01834" w14:paraId="4E6AAFC2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3487879F" w14:textId="7AD9AD1F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farmacja</w:t>
            </w:r>
          </w:p>
        </w:tc>
      </w:tr>
      <w:tr w:rsidR="000B6530" w:rsidRPr="00C01834" w14:paraId="183C2EC2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746336E7" w:rsidR="000B6530" w:rsidRPr="00C01834" w:rsidRDefault="000B6530" w:rsidP="000B6530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A5A60B1" w14:textId="4AA79890" w:rsidR="000B6530" w:rsidRPr="00292303" w:rsidRDefault="000B6530" w:rsidP="000B6530">
            <w:pPr>
              <w:spacing w:after="0" w:line="259" w:lineRule="auto"/>
              <w:ind w:left="0" w:right="-351" w:firstLine="0"/>
              <w:rPr>
                <w:bCs/>
                <w:color w:val="auto"/>
              </w:rPr>
            </w:pPr>
            <w:r w:rsidRPr="00292303">
              <w:rPr>
                <w:bCs/>
                <w:color w:val="auto"/>
              </w:rPr>
              <w:t>nauki farmaceutyczne</w:t>
            </w:r>
          </w:p>
        </w:tc>
      </w:tr>
      <w:tr w:rsidR="000B6530" w:rsidRPr="00C01834" w14:paraId="71F9ED42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458B0D47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7898681" w14:textId="53359DA9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praktyczny</w:t>
            </w:r>
          </w:p>
        </w:tc>
      </w:tr>
      <w:tr w:rsidR="000B6530" w:rsidRPr="00C01834" w14:paraId="75BB47CB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4716A32E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C09241D" w14:textId="18E7FA58" w:rsidR="000B6530" w:rsidRPr="00C01834" w:rsidRDefault="004E4A0A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0B6530">
              <w:rPr>
                <w:color w:val="auto"/>
              </w:rPr>
              <w:t>tudia jednolite magisterskie</w:t>
            </w:r>
          </w:p>
        </w:tc>
      </w:tr>
      <w:tr w:rsidR="000B6530" w:rsidRPr="00C01834" w14:paraId="319D6F33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156726BE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9AD8A40" w14:textId="39081780" w:rsidR="000B6530" w:rsidRPr="00292303" w:rsidRDefault="000B6530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292303">
              <w:rPr>
                <w:bCs/>
                <w:color w:val="auto"/>
              </w:rPr>
              <w:t>stacjonarne</w:t>
            </w:r>
          </w:p>
        </w:tc>
      </w:tr>
      <w:tr w:rsidR="000B6530" w:rsidRPr="00C01834" w14:paraId="0D560214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4E1F8F7E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B8DE34D" w14:textId="082951F1" w:rsidR="000B6530" w:rsidRPr="00292303" w:rsidRDefault="000B6530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292303">
              <w:rPr>
                <w:bCs/>
                <w:color w:val="auto"/>
              </w:rPr>
              <w:t>obowiązkowy</w:t>
            </w:r>
          </w:p>
        </w:tc>
      </w:tr>
      <w:tr w:rsidR="000B6530" w:rsidRPr="00C01834" w14:paraId="5858F82D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01F906E0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3AA53AE" w14:textId="10F0FC88" w:rsidR="000B6530" w:rsidRPr="00292303" w:rsidRDefault="000B6530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292303">
              <w:rPr>
                <w:bCs/>
                <w:color w:val="auto"/>
              </w:rPr>
              <w:t>egzamin</w:t>
            </w:r>
          </w:p>
        </w:tc>
      </w:tr>
      <w:tr w:rsidR="000B6530" w:rsidRPr="00C01834" w14:paraId="4BC9D7EB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BCE1D90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 prowadząca /jednostki prowadzące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B7B039F" w14:textId="2FF28955" w:rsidR="000B6530" w:rsidRPr="00292303" w:rsidRDefault="00292303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9D2B02">
              <w:rPr>
                <w:bCs/>
                <w:color w:val="auto"/>
              </w:rPr>
              <w:t xml:space="preserve">Katedra i </w:t>
            </w:r>
            <w:r w:rsidR="000B6530" w:rsidRPr="00292303">
              <w:rPr>
                <w:bCs/>
                <w:color w:val="auto"/>
              </w:rPr>
              <w:t>Zakład Technologii Leków i Biotechnologii Farmaceutycznej</w:t>
            </w:r>
          </w:p>
          <w:p w14:paraId="3685F30C" w14:textId="286A06C7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292303">
              <w:rPr>
                <w:bCs/>
                <w:color w:val="auto"/>
              </w:rPr>
              <w:t>W</w:t>
            </w:r>
            <w:r w:rsidR="00292303">
              <w:rPr>
                <w:bCs/>
                <w:color w:val="auto"/>
              </w:rPr>
              <w:t xml:space="preserve">ydziału </w:t>
            </w:r>
            <w:r w:rsidRPr="00292303">
              <w:rPr>
                <w:bCs/>
                <w:color w:val="auto"/>
              </w:rPr>
              <w:t>F</w:t>
            </w:r>
            <w:r w:rsidR="00292303">
              <w:rPr>
                <w:bCs/>
                <w:color w:val="auto"/>
              </w:rPr>
              <w:t xml:space="preserve">armaceutycznego </w:t>
            </w:r>
            <w:r w:rsidRPr="00292303">
              <w:rPr>
                <w:bCs/>
                <w:color w:val="auto"/>
              </w:rPr>
              <w:t xml:space="preserve"> ul. Banacha 1, 02-097 Warszawa</w:t>
            </w:r>
          </w:p>
        </w:tc>
      </w:tr>
      <w:tr w:rsidR="000B6530" w:rsidRPr="00C01834" w14:paraId="2DE86E08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F7E5DFB" w14:textId="04906314" w:rsidR="000B6530" w:rsidRPr="00292303" w:rsidRDefault="000B6530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292303">
              <w:rPr>
                <w:bCs/>
                <w:color w:val="auto"/>
              </w:rPr>
              <w:t>Prof. dr hab. Jadwiga Turło</w:t>
            </w:r>
          </w:p>
        </w:tc>
      </w:tr>
      <w:tr w:rsidR="000B6530" w:rsidRPr="00C01834" w14:paraId="52E84EAE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3A4DF61F" w:rsidR="000B6530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FC36F70" w14:textId="5126E6FB" w:rsidR="000B6530" w:rsidRPr="00292303" w:rsidRDefault="003B6B08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Prof. d</w:t>
            </w:r>
            <w:r w:rsidR="000B6530" w:rsidRPr="00292303">
              <w:rPr>
                <w:bCs/>
                <w:color w:val="auto"/>
              </w:rPr>
              <w:t>r hab. Maciej Dawidowski</w:t>
            </w:r>
          </w:p>
          <w:p w14:paraId="1D975D70" w14:textId="57E706C2" w:rsidR="000B6530" w:rsidRPr="00C01834" w:rsidRDefault="000B6530" w:rsidP="00292303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9" w:history="1">
              <w:r w:rsidRPr="00E86879">
                <w:rPr>
                  <w:rStyle w:val="Hipercze"/>
                  <w:b/>
                </w:rPr>
                <w:t>maciej.dawidowski@wum.edu.pl</w:t>
              </w:r>
            </w:hyperlink>
          </w:p>
        </w:tc>
      </w:tr>
      <w:tr w:rsidR="000B6530" w:rsidRPr="00C01834" w14:paraId="1C47B7EB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8FA8813" w14:textId="77777777" w:rsidR="000B6530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</w:p>
          <w:p w14:paraId="0EF45A6F" w14:textId="652B2B66" w:rsidR="009D2B02" w:rsidRPr="00C01834" w:rsidRDefault="009D2B02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971038E" w14:textId="79B7D71E" w:rsidR="000B6530" w:rsidRPr="00292303" w:rsidRDefault="003B6B08" w:rsidP="000B6530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Prof. d</w:t>
            </w:r>
            <w:r w:rsidR="000B6530" w:rsidRPr="00292303">
              <w:rPr>
                <w:bCs/>
                <w:color w:val="auto"/>
              </w:rPr>
              <w:t>r hab. Maciej Dawidowski</w:t>
            </w:r>
          </w:p>
          <w:p w14:paraId="4F3E18BC" w14:textId="1ACA2480" w:rsidR="000B6530" w:rsidRPr="00C01834" w:rsidRDefault="000B6530" w:rsidP="00292303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hyperlink r:id="rId10" w:history="1">
              <w:r w:rsidRPr="00E86879">
                <w:rPr>
                  <w:rStyle w:val="Hipercze"/>
                  <w:b/>
                </w:rPr>
                <w:t>maciej.dawidowski@wum.edu.pl</w:t>
              </w:r>
            </w:hyperlink>
          </w:p>
        </w:tc>
      </w:tr>
      <w:tr w:rsidR="000B6530" w:rsidRPr="00C01834" w14:paraId="4FD7B3DA" w14:textId="77777777" w:rsidTr="00FB3EDE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D0C66FD" w14:textId="54100928" w:rsidR="000B6530" w:rsidRPr="00C01834" w:rsidRDefault="000B6530" w:rsidP="000B6530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t xml:space="preserve">Prof. dr hab. Jadwiga Turło, </w:t>
            </w:r>
            <w:r w:rsidR="003B6B08">
              <w:t xml:space="preserve">Prof. </w:t>
            </w:r>
            <w:r>
              <w:t>dr hab. Maciej Dawidowski,</w:t>
            </w:r>
            <w:r w:rsidR="001634B5">
              <w:t xml:space="preserve"> dr Sandra Górska,</w:t>
            </w:r>
            <w:r>
              <w:t xml:space="preserve"> </w:t>
            </w:r>
            <w:r w:rsidR="001634B5">
              <w:t>d</w:t>
            </w:r>
            <w:r>
              <w:t xml:space="preserve">r Małgorzata Kałucka, dr Marzenna Klimaszewska, dr Marek Król, dr Eliza Malinowska, mgr Tomasz Słowiński, dr Grzegorz Ślifirski, mgr Agnieszka Szczepańska, dr Martyna Wróbel </w:t>
            </w:r>
          </w:p>
        </w:tc>
      </w:tr>
    </w:tbl>
    <w:p w14:paraId="6766E821" w14:textId="6B791988" w:rsidR="00C01834" w:rsidRPr="00E55362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1B4491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36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1B4491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0EF097C" w14:textId="77777777" w:rsidR="00C92ECE" w:rsidRPr="00C01834" w:rsidRDefault="00C92ECE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4784FA8" w14:textId="329B057A" w:rsidR="00C92ECE" w:rsidRPr="00C01834" w:rsidRDefault="000B6530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Rok III, semestr V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30DE7BC8" w14:textId="77777777" w:rsidR="00C92ECE" w:rsidRPr="00C01834" w:rsidRDefault="00C92ECE" w:rsidP="00D773DA">
            <w:pPr>
              <w:spacing w:after="0" w:line="236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025DD52E" w14:textId="75510491" w:rsidR="00C92ECE" w:rsidRPr="00C01834" w:rsidRDefault="000B6530" w:rsidP="00D773DA">
            <w:pPr>
              <w:spacing w:after="160" w:line="259" w:lineRule="auto"/>
              <w:ind w:left="0"/>
              <w:rPr>
                <w:color w:val="auto"/>
              </w:rPr>
            </w:pPr>
            <w:r>
              <w:rPr>
                <w:color w:val="auto"/>
              </w:rPr>
              <w:t>5.00</w:t>
            </w:r>
          </w:p>
        </w:tc>
      </w:tr>
      <w:tr w:rsidR="00724BB4" w:rsidRPr="00C01834" w14:paraId="0C731368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7B5A0B9E" w14:textId="325D85D5" w:rsidR="00724BB4" w:rsidRPr="00724BB4" w:rsidRDefault="00724BB4" w:rsidP="001B4491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6A6A6" w:themeColor="background1" w:themeShade="A6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lastRenderedPageBreak/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1B4491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36EE16FF" w:rsidR="00C01834" w:rsidRPr="00C01834" w:rsidRDefault="00A2424B" w:rsidP="000A7378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260" w:type="dxa"/>
            <w:gridSpan w:val="2"/>
            <w:tcBorders>
              <w:top w:val="single" w:sz="6" w:space="0" w:color="A6A6A6" w:themeColor="background1" w:themeShade="A6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18BCDA80" w:rsidR="00C01834" w:rsidRPr="00C01834" w:rsidRDefault="00A2424B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D218D3">
              <w:rPr>
                <w:color w:val="auto"/>
              </w:rPr>
              <w:t>43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091F19BB" w:rsidR="00C01834" w:rsidRPr="00C01834" w:rsidRDefault="000A7378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0BB6B298" w:rsidR="00C01834" w:rsidRPr="00C01834" w:rsidRDefault="000A7378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A2424B">
              <w:rPr>
                <w:color w:val="auto"/>
              </w:rPr>
              <w:t>17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1262E58B" w:rsidR="00C01834" w:rsidRPr="00C01834" w:rsidRDefault="000A7378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57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20170D76" w:rsidR="00C01834" w:rsidRPr="00C01834" w:rsidRDefault="00A2424B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1.9</w:t>
            </w: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3D3264DD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6A30C56E" w:rsidR="00C01834" w:rsidRPr="00C01834" w:rsidRDefault="000B6530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75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2F6C1ABF" w:rsidR="00C01834" w:rsidRPr="009D2B02" w:rsidRDefault="00B44E53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9D2B02">
              <w:rPr>
                <w:color w:val="auto"/>
              </w:rPr>
              <w:t>2.5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DA16E6">
        <w:trPr>
          <w:trHeight w:val="258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1414BB0" w14:textId="5207770C" w:rsidR="00C92ECE" w:rsidRPr="00C92ECE" w:rsidRDefault="00C92ECE" w:rsidP="00C92E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353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0B6530" w:rsidRPr="00C01834" w14:paraId="4BE2BC01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72B6F84" w14:textId="468B8985" w:rsidR="000B6530" w:rsidRPr="00C01834" w:rsidRDefault="000B6530" w:rsidP="000B6530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7227849C" w:rsidR="000B6530" w:rsidRPr="00C01834" w:rsidRDefault="000B6530" w:rsidP="000B6530">
            <w:pPr>
              <w:spacing w:after="0" w:line="259" w:lineRule="auto"/>
              <w:ind w:left="0" w:right="353" w:firstLine="0"/>
              <w:rPr>
                <w:color w:val="auto"/>
              </w:rPr>
            </w:pPr>
            <w:r>
              <w:t xml:space="preserve"> Zapoznanie z metodami poszukiwania nowych substancji aktywnych, podstawowymi zasadami Dobrej Praktyki Wytwarzania (GMP) oraz z syntezami wybranych substancji aktywnych (API). </w:t>
            </w:r>
          </w:p>
        </w:tc>
      </w:tr>
      <w:tr w:rsidR="000B6530" w:rsidRPr="00C01834" w14:paraId="4E0DBB46" w14:textId="77777777" w:rsidTr="00861D21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4533ECA" w14:textId="2795C1BF" w:rsidR="000B6530" w:rsidRPr="00C01834" w:rsidRDefault="000B6530" w:rsidP="000B6530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368658" w14:textId="77777777" w:rsidR="000B6530" w:rsidRDefault="000B6530" w:rsidP="000B6530">
            <w:pPr>
              <w:spacing w:after="0" w:line="259" w:lineRule="auto"/>
              <w:ind w:left="0" w:firstLine="0"/>
            </w:pPr>
            <w:r>
              <w:t xml:space="preserve">Opanowanie preparatyki wybranych substancji leczniczych z zastosowaniem odpowiednich operacji fizycznych </w:t>
            </w:r>
          </w:p>
          <w:p w14:paraId="189CAFB7" w14:textId="41CC9C29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 xml:space="preserve">i jednostkowych procesów chemicznych </w:t>
            </w:r>
          </w:p>
        </w:tc>
      </w:tr>
      <w:tr w:rsidR="000B6530" w:rsidRPr="00C01834" w14:paraId="7A46E8E4" w14:textId="77777777" w:rsidTr="00AC4B18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FD64451" w14:textId="5E370FBF" w:rsidR="000B6530" w:rsidRPr="00C01834" w:rsidRDefault="000B6530" w:rsidP="000B6530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C3 (K.7)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A07DA19" w14:textId="0163EFD4" w:rsidR="000B6530" w:rsidRPr="00C01834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Uzyskanie umiejętności korzystania z obiektywnych  źródeł informacji.  </w:t>
            </w:r>
          </w:p>
        </w:tc>
      </w:tr>
      <w:tr w:rsidR="000B6530" w:rsidRPr="00C01834" w14:paraId="2992E76A" w14:textId="77777777" w:rsidTr="00AC4B18">
        <w:trPr>
          <w:trHeight w:val="258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C4907F" w14:textId="77777777" w:rsidR="000B6530" w:rsidRDefault="000B6530" w:rsidP="000B6530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C4</w:t>
            </w:r>
          </w:p>
          <w:p w14:paraId="77CB3E14" w14:textId="26E81A73" w:rsidR="000B6530" w:rsidRDefault="000B6530" w:rsidP="000B6530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(K.8)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B196DB7" w14:textId="314B7E1A" w:rsidR="000B6530" w:rsidRDefault="000B6530" w:rsidP="000B6530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Nabycie zdolność do formułowania wniosków z własnych pomiarów lub obserwacji.</w:t>
            </w:r>
          </w:p>
        </w:tc>
      </w:tr>
    </w:tbl>
    <w:p w14:paraId="6B539095" w14:textId="6164ADBA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1A89C8C9" w14:textId="77777777" w:rsidTr="001D6219">
        <w:trPr>
          <w:trHeight w:val="701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07A9A9A" w14:textId="14F958B6" w:rsidR="00CA3ACF" w:rsidRPr="00CA3ACF" w:rsidRDefault="00CA3ACF" w:rsidP="00CA3ACF">
            <w:pPr>
              <w:pStyle w:val="Nagwek1"/>
              <w:numPr>
                <w:ilvl w:val="0"/>
                <w:numId w:val="1"/>
              </w:numPr>
              <w:jc w:val="left"/>
              <w:rPr>
                <w:smallCaps/>
                <w:color w:val="auto"/>
              </w:rPr>
            </w:pPr>
            <w:r w:rsidRPr="00CA3ACF">
              <w:rPr>
                <w:smallCaps/>
                <w:color w:val="auto"/>
              </w:rPr>
              <w:t xml:space="preserve">Standard kształcenia – Szczegółowe efekty uczenia się </w:t>
            </w:r>
          </w:p>
        </w:tc>
      </w:tr>
      <w:tr w:rsidR="00C01834" w:rsidRPr="00C01834" w14:paraId="4A87681E" w14:textId="77777777" w:rsidTr="001D6219">
        <w:trPr>
          <w:trHeight w:val="1029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DEA30E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Symbol</w:t>
            </w:r>
          </w:p>
          <w:p w14:paraId="1B2244E7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i numer efektu uczenia się</w:t>
            </w:r>
          </w:p>
          <w:p w14:paraId="0CBA0C4A" w14:textId="5BDA2FD9" w:rsidR="00C01834" w:rsidRPr="00C01834" w:rsidRDefault="00C01834" w:rsidP="001B4491">
            <w:pPr>
              <w:spacing w:after="0" w:line="259" w:lineRule="auto"/>
              <w:ind w:left="116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zgodnie ze standardami uczenia się 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8763977" w14:textId="20AA3FDF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  <w:r w:rsidR="001B4491">
              <w:rPr>
                <w:b/>
                <w:color w:val="auto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(zgodnie z załącznikiem do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>R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 xml:space="preserve">ozporządzenia Ministra NiSW </w:t>
            </w:r>
            <w:r w:rsidR="001B4491">
              <w:rPr>
                <w:bCs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1B4491" w:rsidRPr="00D320E0">
              <w:rPr>
                <w:bCs/>
                <w:i/>
                <w:iCs/>
                <w:color w:val="auto"/>
                <w:sz w:val="16"/>
                <w:szCs w:val="20"/>
              </w:rPr>
              <w:t>z 26 lipca 2019)</w:t>
            </w:r>
          </w:p>
        </w:tc>
      </w:tr>
      <w:tr w:rsidR="00C01834" w:rsidRPr="00C01834" w14:paraId="154BBF1B" w14:textId="77777777" w:rsidTr="001D6219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7B2113A" w14:textId="556D5C49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</w:t>
            </w:r>
            <w:r w:rsidR="00B8221A"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zna i rozumie:</w:t>
            </w:r>
          </w:p>
        </w:tc>
      </w:tr>
      <w:tr w:rsidR="001D6219" w:rsidRPr="00C01834" w14:paraId="25FEEE9E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5EF2AE7" w14:textId="4B7AAF22" w:rsidR="001D6219" w:rsidRPr="00C01834" w:rsidRDefault="001D6219" w:rsidP="008602B3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34DAD52" w14:textId="1EAE5F96" w:rsidR="001D6219" w:rsidRPr="00C01834" w:rsidRDefault="001D6219" w:rsidP="001D6219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metody wytwarzania przykładowych substancji leczniczych, stosowane operacje fizyczne oraz jednostkowe procesy chemiczne;</w:t>
            </w:r>
          </w:p>
        </w:tc>
      </w:tr>
      <w:tr w:rsidR="001D6219" w:rsidRPr="00C01834" w14:paraId="257A5CD4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14F658" w14:textId="64F4DD47" w:rsidR="001D6219" w:rsidRPr="00C01834" w:rsidRDefault="001D6219" w:rsidP="008602B3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t>C.W11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3B6ABA" w14:textId="20D9EB59" w:rsidR="001D6219" w:rsidRPr="00C01834" w:rsidRDefault="001D6219" w:rsidP="001D6219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wymagania dotyczące opisu sposobu wytwarzania i oceny jakości substancji leczniczej w dokumentacji rejestracyjnej;</w:t>
            </w:r>
          </w:p>
        </w:tc>
      </w:tr>
      <w:tr w:rsidR="001D6219" w:rsidRPr="00C01834" w14:paraId="2F669314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685609A" w14:textId="3C9D966D" w:rsidR="001D6219" w:rsidRDefault="001D6219" w:rsidP="008602B3">
            <w:pPr>
              <w:spacing w:after="0" w:line="259" w:lineRule="auto"/>
              <w:ind w:left="161" w:firstLine="0"/>
              <w:jc w:val="center"/>
            </w:pPr>
            <w:r>
              <w:t>C.W12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D7B5CF" w14:textId="1187C117" w:rsidR="001D6219" w:rsidRDefault="001D6219" w:rsidP="001D6219">
            <w:pPr>
              <w:spacing w:after="0" w:line="259" w:lineRule="auto"/>
              <w:ind w:left="0" w:firstLine="0"/>
            </w:pPr>
            <w:r>
              <w:t>metody otrzymywania i rozdzielania optycznie czynnych substancji leczniczych oraz metody otrzymywania różnych form polimorficznych;</w:t>
            </w:r>
          </w:p>
        </w:tc>
      </w:tr>
      <w:tr w:rsidR="001D6219" w:rsidRPr="00C01834" w14:paraId="065058BA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0BF90FA" w14:textId="04A0B3BC" w:rsidR="001D6219" w:rsidRPr="00C01834" w:rsidRDefault="001D6219" w:rsidP="008602B3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C.W13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0299545" w14:textId="5DB328A0" w:rsidR="001D6219" w:rsidRPr="00C01834" w:rsidRDefault="001D6219" w:rsidP="001D6219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metody poszukiwania nowych substancji leczniczych;</w:t>
            </w:r>
          </w:p>
        </w:tc>
      </w:tr>
      <w:tr w:rsidR="001D6219" w:rsidRPr="00C01834" w14:paraId="20A16B5E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3689755" w14:textId="241BE87F" w:rsidR="001D6219" w:rsidRPr="00C01834" w:rsidRDefault="001D6219" w:rsidP="008602B3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t>C.W14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E8287D2" w14:textId="3BA56B99" w:rsidR="001D6219" w:rsidRPr="00C01834" w:rsidRDefault="001D6219" w:rsidP="001D6219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problematykę ochrony patentowej substancji do celów farmaceutycznych i produktów leczniczych;</w:t>
            </w:r>
          </w:p>
        </w:tc>
      </w:tr>
      <w:tr w:rsidR="001D6219" w:rsidRPr="00C01834" w14:paraId="28D3F0FA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E5CD454" w14:textId="65D05D84" w:rsidR="001D6219" w:rsidRDefault="001D6219" w:rsidP="001D6219">
            <w:pPr>
              <w:spacing w:after="0" w:line="259" w:lineRule="auto"/>
              <w:ind w:left="15" w:firstLine="0"/>
              <w:jc w:val="center"/>
            </w:pPr>
            <w:r>
              <w:lastRenderedPageBreak/>
              <w:t>C.W24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A4A8B6F" w14:textId="05A081B9" w:rsidR="001D6219" w:rsidRDefault="001D6219" w:rsidP="001D6219">
            <w:pPr>
              <w:spacing w:after="0" w:line="259" w:lineRule="auto"/>
              <w:ind w:left="0" w:firstLine="0"/>
            </w:pPr>
            <w:r>
              <w:t>nowe osiągnięcia w obszarze badań nad lekiem biologicznym i syntetycznym;</w:t>
            </w:r>
          </w:p>
        </w:tc>
      </w:tr>
      <w:tr w:rsidR="001D6219" w:rsidRPr="00C01834" w14:paraId="7AC84A32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46C7B0" w14:textId="70D3659C" w:rsidR="001D6219" w:rsidRDefault="001D6219" w:rsidP="001D6219">
            <w:pPr>
              <w:spacing w:after="0" w:line="259" w:lineRule="auto"/>
              <w:ind w:left="15" w:firstLine="0"/>
              <w:jc w:val="center"/>
            </w:pPr>
            <w:r>
              <w:t>C.W33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6677A35" w14:textId="78EDFED7" w:rsidR="001D6219" w:rsidRDefault="001D6219" w:rsidP="001D6219">
            <w:pPr>
              <w:spacing w:after="0" w:line="259" w:lineRule="auto"/>
              <w:ind w:left="0" w:firstLine="0"/>
            </w:pPr>
            <w:r>
              <w:t xml:space="preserve">zasady Dobrej Praktyki Wytwarzania określonej w przepisach wydanych na podstawie art. 39 ust. 5 pkt 1 ustawy      z dnia 6 września 2001 r. – Prawo farmaceutyczne (Dz. U. z 2019 r. poz. 499, z późn. zm.), w tym zasady dokumentowania procesów technologicznych; </w:t>
            </w:r>
          </w:p>
        </w:tc>
      </w:tr>
      <w:tr w:rsidR="001D6219" w:rsidRPr="00C01834" w14:paraId="6199C6B7" w14:textId="77777777" w:rsidTr="001D6219">
        <w:trPr>
          <w:trHeight w:val="383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DDF10F1" w14:textId="47D5B23D" w:rsidR="001D6219" w:rsidRDefault="001D6219" w:rsidP="001D6219">
            <w:pPr>
              <w:spacing w:after="0" w:line="259" w:lineRule="auto"/>
              <w:ind w:left="0" w:firstLine="0"/>
            </w:pPr>
            <w:r w:rsidRPr="00C01834">
              <w:rPr>
                <w:b/>
                <w:color w:val="auto"/>
              </w:rPr>
              <w:t>Umiejętności – Absolwent</w:t>
            </w:r>
            <w:r>
              <w:rPr>
                <w:b/>
                <w:color w:val="auto"/>
              </w:rPr>
              <w:t>*</w:t>
            </w:r>
            <w:r w:rsidRPr="00C01834">
              <w:rPr>
                <w:b/>
                <w:color w:val="auto"/>
              </w:rPr>
              <w:t xml:space="preserve"> potrafi:</w:t>
            </w:r>
          </w:p>
        </w:tc>
      </w:tr>
      <w:tr w:rsidR="001D6219" w:rsidRPr="00C01834" w14:paraId="1911FFB3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0F1C104" w14:textId="628B302B" w:rsidR="001D6219" w:rsidRPr="00C01834" w:rsidRDefault="001D6219" w:rsidP="001D6219">
            <w:pPr>
              <w:spacing w:after="0" w:line="259" w:lineRule="auto"/>
              <w:ind w:left="15" w:firstLine="0"/>
              <w:jc w:val="center"/>
              <w:rPr>
                <w:b/>
                <w:color w:val="auto"/>
              </w:rPr>
            </w:pPr>
            <w:r>
              <w:t>C.U9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586A26E" w14:textId="3D2A6FD2" w:rsidR="001D6219" w:rsidRDefault="001D6219" w:rsidP="001D6219">
            <w:pPr>
              <w:spacing w:after="0" w:line="259" w:lineRule="auto"/>
              <w:ind w:left="0" w:firstLine="0"/>
            </w:pPr>
            <w:r>
              <w:t>wytypować etapy i parametry krytyczne w procesie syntezy substancji leczniczej oraz przygotować schemat blokowy przykładowego procesu syntezy;</w:t>
            </w:r>
          </w:p>
        </w:tc>
      </w:tr>
      <w:tr w:rsidR="001D6219" w:rsidRPr="00C01834" w14:paraId="035EB398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82EF7DA" w14:textId="631C824B" w:rsidR="001D6219" w:rsidRDefault="001D6219" w:rsidP="001D6219">
            <w:pPr>
              <w:spacing w:after="0" w:line="259" w:lineRule="auto"/>
              <w:ind w:left="15" w:firstLine="0"/>
              <w:jc w:val="center"/>
            </w:pPr>
            <w:r>
              <w:t xml:space="preserve"> C.U10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E7601A" w14:textId="57BF5A4D" w:rsidR="001D6219" w:rsidRDefault="001D6219" w:rsidP="001D6219">
            <w:pPr>
              <w:spacing w:after="0" w:line="259" w:lineRule="auto"/>
              <w:ind w:left="0" w:firstLine="0"/>
            </w:pPr>
            <w:r>
              <w:t>przeprowadzać syntezę substancji leczniczej oraz zaproponować metodę jej oczyszczania;</w:t>
            </w:r>
          </w:p>
        </w:tc>
      </w:tr>
      <w:tr w:rsidR="001D6219" w:rsidRPr="00C01834" w14:paraId="151C5404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0F89F8" w14:textId="7ACFE621" w:rsidR="001D6219" w:rsidRDefault="001D6219" w:rsidP="001D6219">
            <w:pPr>
              <w:spacing w:after="0" w:line="259" w:lineRule="auto"/>
              <w:ind w:left="15" w:firstLine="0"/>
              <w:jc w:val="center"/>
            </w:pPr>
            <w:r>
              <w:t>C.U11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A2CD60C" w14:textId="14BC8789" w:rsidR="001D6219" w:rsidRDefault="001D6219" w:rsidP="001D6219">
            <w:pPr>
              <w:spacing w:after="0" w:line="259" w:lineRule="auto"/>
              <w:ind w:left="0" w:firstLine="0"/>
            </w:pPr>
            <w:r>
              <w:t>wyjaśniać obecność pozostałości rozpuszczalników i innych zanieczyszczeń w substancji leczniczej;</w:t>
            </w:r>
          </w:p>
        </w:tc>
      </w:tr>
      <w:tr w:rsidR="001D6219" w:rsidRPr="00C01834" w14:paraId="4E171291" w14:textId="77777777" w:rsidTr="001D6219">
        <w:trPr>
          <w:trHeight w:val="383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27E22252" w14:textId="66302F12" w:rsidR="001D6219" w:rsidRDefault="001D6219" w:rsidP="001D6219">
            <w:pPr>
              <w:spacing w:after="0" w:line="259" w:lineRule="auto"/>
              <w:ind w:left="15" w:firstLine="0"/>
              <w:jc w:val="center"/>
            </w:pPr>
            <w:r>
              <w:t>C.U34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94B7011" w14:textId="618AC30B" w:rsidR="001D6219" w:rsidRDefault="001D6219" w:rsidP="001D6219">
            <w:pPr>
              <w:spacing w:after="0" w:line="259" w:lineRule="auto"/>
              <w:ind w:left="0" w:firstLine="0"/>
            </w:pPr>
            <w:r>
              <w:t>wyszukiwać informacje naukowe dotyczące substancji i produktów leczniczych;</w:t>
            </w:r>
          </w:p>
        </w:tc>
      </w:tr>
    </w:tbl>
    <w:p w14:paraId="6BA0B429" w14:textId="57C8DF62" w:rsidR="00C01834" w:rsidRPr="00B8221A" w:rsidRDefault="00B8221A" w:rsidP="00B8221A">
      <w:pPr>
        <w:spacing w:after="11" w:line="259" w:lineRule="auto"/>
        <w:rPr>
          <w:bCs/>
          <w:i/>
          <w:iCs/>
          <w:color w:val="auto"/>
          <w:sz w:val="16"/>
          <w:szCs w:val="14"/>
        </w:rPr>
      </w:pPr>
      <w:r w:rsidRPr="00B8221A">
        <w:rPr>
          <w:bCs/>
          <w:i/>
          <w:iCs/>
          <w:color w:val="auto"/>
          <w:sz w:val="16"/>
          <w:szCs w:val="14"/>
        </w:rPr>
        <w:t>*W załącznikach do Rozporządzenia Ministra NiSW z 26 lipca 2019 wspomina się o „absolwencie”, a nie studencie</w:t>
      </w:r>
    </w:p>
    <w:p w14:paraId="5560877D" w14:textId="47108A91" w:rsidR="00B8221A" w:rsidRPr="00CA3ACF" w:rsidRDefault="00B8221A" w:rsidP="00CA3ACF">
      <w:pPr>
        <w:spacing w:after="11" w:line="259" w:lineRule="auto"/>
        <w:ind w:left="0" w:firstLine="0"/>
        <w:rPr>
          <w:bCs/>
          <w:i/>
          <w:i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900EC6">
        <w:trPr>
          <w:trHeight w:val="509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5E531BE8" w14:textId="1E24B049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Pozostałe efekty uczenia się</w:t>
            </w:r>
            <w:r w:rsidRPr="00CA3ACF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C01834" w:rsidRPr="00C01834" w14:paraId="4731D0CC" w14:textId="77777777" w:rsidTr="001B4491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1B4491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D8CF2F" w14:textId="05D85AE3" w:rsidR="001B4491" w:rsidRPr="001B4491" w:rsidRDefault="001B4491" w:rsidP="001B4491">
            <w:pPr>
              <w:spacing w:after="0" w:line="259" w:lineRule="auto"/>
              <w:ind w:left="0" w:firstLine="0"/>
              <w:rPr>
                <w:b/>
                <w:color w:val="A6A6A6" w:themeColor="background1" w:themeShade="A6"/>
              </w:rPr>
            </w:pPr>
            <w:r w:rsidRPr="001B4491">
              <w:rPr>
                <w:bCs/>
                <w:i/>
                <w:iCs/>
                <w:color w:val="A6A6A6" w:themeColor="background1" w:themeShade="A6"/>
                <w:sz w:val="16"/>
                <w:szCs w:val="14"/>
              </w:rPr>
              <w:t>(pole nieobowiązkowe)</w:t>
            </w:r>
          </w:p>
          <w:p w14:paraId="0317E827" w14:textId="3E611113" w:rsidR="00C01834" w:rsidRPr="00C01834" w:rsidRDefault="00C01834" w:rsidP="001B4491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DDA7FD1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696A4B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A2D83C6" w14:textId="77777777" w:rsidR="00C01834" w:rsidRPr="00C01834" w:rsidRDefault="00C01834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W2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25062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E1B55A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77777777" w:rsidR="00C01834" w:rsidRPr="00C01834" w:rsidRDefault="00C01834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U2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290DD5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K1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2AD0B468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E467077" w14:textId="77777777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color w:val="auto"/>
              </w:rPr>
              <w:t>K2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F556A03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19996697" w14:textId="77777777" w:rsidR="002453B1" w:rsidRPr="00C01834" w:rsidRDefault="002453B1" w:rsidP="007E77E4">
      <w:pPr>
        <w:spacing w:after="11" w:line="259" w:lineRule="auto"/>
        <w:ind w:left="0" w:firstLine="0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9A30E1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BD1B80F" w14:textId="76B7FD45" w:rsidR="00CA3ACF" w:rsidRPr="00CA3ACF" w:rsidRDefault="00CA3ACF" w:rsidP="00CA3AC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8B0D5F" w:rsidRPr="00C01834" w14:paraId="1F8A43F4" w14:textId="63B63775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5E1C90AF" w:rsidR="008B0D5F" w:rsidRPr="00C01834" w:rsidRDefault="000A7378" w:rsidP="008B0D5F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Wykłady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4BBE9D" w14:textId="7F62C996" w:rsidR="008B0D5F" w:rsidRPr="004E4A0A" w:rsidRDefault="000A7378" w:rsidP="002D197C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8B0D5F" w:rsidRPr="004E4A0A">
              <w:rPr>
                <w:bCs/>
              </w:rPr>
              <w:t>1. Rozdrabnianie i Mieszanie. Zasady GMP na przykładzie dokument</w:t>
            </w:r>
            <w:r w:rsidR="008602B3" w:rsidRPr="004E4A0A">
              <w:rPr>
                <w:bCs/>
              </w:rPr>
              <w:t>u</w:t>
            </w:r>
            <w:r w:rsidR="008B0D5F" w:rsidRPr="004E4A0A">
              <w:rPr>
                <w:bCs/>
              </w:rPr>
              <w:t xml:space="preserve"> ASMF.</w:t>
            </w:r>
          </w:p>
          <w:p w14:paraId="08DC4AEE" w14:textId="0AC08D67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6A1415">
              <w:rPr>
                <w:bCs/>
              </w:rPr>
              <w:t>2</w:t>
            </w:r>
            <w:r w:rsidR="008B0D5F" w:rsidRPr="004E4A0A">
              <w:rPr>
                <w:bCs/>
              </w:rPr>
              <w:t>. Destylacja i rektyfikacja. Pompy próżniowe. Synteza Tropikamidu.</w:t>
            </w:r>
          </w:p>
          <w:p w14:paraId="0633414A" w14:textId="6B87CB35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6A1415">
              <w:rPr>
                <w:bCs/>
              </w:rPr>
              <w:t>3</w:t>
            </w:r>
            <w:r w:rsidR="008B0D5F" w:rsidRPr="004E4A0A">
              <w:rPr>
                <w:bCs/>
              </w:rPr>
              <w:t>. Utlenianie. Syntezy Klemastyny, Testosteronu i Chlorodiazepoksydu.</w:t>
            </w:r>
          </w:p>
          <w:p w14:paraId="775C6987" w14:textId="313C8768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6A1415">
              <w:rPr>
                <w:bCs/>
              </w:rPr>
              <w:t>4</w:t>
            </w:r>
            <w:r w:rsidR="008B0D5F" w:rsidRPr="004E4A0A">
              <w:rPr>
                <w:bCs/>
              </w:rPr>
              <w:t>. Sulfonowanie i chlorosulfonowanie, aminowanie. Syntezy środków leczniczych: sulfonamidy (Sulfanilamid, Sulfacetamid, Furosemid, Tolbutamid), Kwas Salicylowy, Kwas Acetylosalicylowy (Polopiryna, Aspiryna), Kwas p-Aminosalicylowy (PAS).Metody oczyszczania związków organicznych i określania stopnia ich czystości.</w:t>
            </w:r>
          </w:p>
          <w:p w14:paraId="2D4E9F04" w14:textId="3FDA0EDE" w:rsidR="008B0D5F" w:rsidRPr="004E4A0A" w:rsidRDefault="000A7378" w:rsidP="007E77E4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6A1415">
              <w:rPr>
                <w:bCs/>
              </w:rPr>
              <w:t>5</w:t>
            </w:r>
            <w:r w:rsidR="008B0D5F" w:rsidRPr="004E4A0A">
              <w:rPr>
                <w:bCs/>
              </w:rPr>
              <w:t>. Ekstrakcja, krystalizacja, chromatografia.</w:t>
            </w:r>
          </w:p>
          <w:p w14:paraId="3C371626" w14:textId="7C21BD71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W</w:t>
            </w:r>
            <w:r w:rsidR="00FA24F5">
              <w:rPr>
                <w:bCs/>
              </w:rPr>
              <w:t>6</w:t>
            </w:r>
            <w:r w:rsidR="008B0D5F" w:rsidRPr="004E4A0A">
              <w:rPr>
                <w:bCs/>
              </w:rPr>
              <w:t>. Chłodzenie, suszenie. Syntezy :  Binazyny, Bikordyny, Paracetamolu. Chlorowcowanie. Redukcja. Zielona Farmacja.</w:t>
            </w:r>
          </w:p>
          <w:p w14:paraId="28598467" w14:textId="499EDA1D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FA24F5">
              <w:rPr>
                <w:bCs/>
              </w:rPr>
              <w:t>7</w:t>
            </w:r>
            <w:r w:rsidR="008B0D5F" w:rsidRPr="004E4A0A">
              <w:rPr>
                <w:bCs/>
              </w:rPr>
              <w:t>. Filtracja, wirowanie. Nitrowanie, nitrozowanie.</w:t>
            </w:r>
          </w:p>
          <w:p w14:paraId="0D3919AB" w14:textId="48FF0A40" w:rsidR="008B0D5F" w:rsidRPr="004E4A0A" w:rsidRDefault="000A7378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FA24F5">
              <w:rPr>
                <w:bCs/>
              </w:rPr>
              <w:t>8</w:t>
            </w:r>
            <w:r w:rsidR="008B0D5F" w:rsidRPr="004E4A0A">
              <w:rPr>
                <w:bCs/>
              </w:rPr>
              <w:t>. Diazowanie, hydroliza, estryfikacja. Syntezy środków leczniczych: Anestezyna, Nowokaina, Ksylokaina.</w:t>
            </w:r>
          </w:p>
          <w:p w14:paraId="0485E40C" w14:textId="2B791E76" w:rsidR="00FA24F5" w:rsidRPr="007E77E4" w:rsidRDefault="000A7378" w:rsidP="007E77E4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W</w:t>
            </w:r>
            <w:r w:rsidR="00FA24F5">
              <w:rPr>
                <w:bCs/>
              </w:rPr>
              <w:t>9</w:t>
            </w:r>
            <w:r w:rsidR="008B0D5F" w:rsidRPr="004E4A0A">
              <w:rPr>
                <w:bCs/>
              </w:rPr>
              <w:t>. Ochrona Patentowa.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7A63EF" w14:textId="72796E58" w:rsidR="008B0D5F" w:rsidRPr="00C01834" w:rsidRDefault="008B0D5F" w:rsidP="008B0D5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lastRenderedPageBreak/>
              <w:t>C.W10, C.W11, C.W12, C.W13, C.W14, C.W24, C.W33</w:t>
            </w:r>
          </w:p>
        </w:tc>
      </w:tr>
      <w:tr w:rsidR="006A1415" w:rsidRPr="00C01834" w14:paraId="097DF324" w14:textId="77777777" w:rsidTr="006A1415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D105132" w14:textId="17CFE662" w:rsidR="006A1415" w:rsidRDefault="006A1415" w:rsidP="008B0D5F">
            <w:pPr>
              <w:spacing w:after="0" w:line="259" w:lineRule="auto"/>
              <w:ind w:left="5" w:firstLine="0"/>
              <w:jc w:val="center"/>
            </w:pPr>
            <w:r>
              <w:t>Seminaria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3C9CBA7" w14:textId="3E9EAE36" w:rsidR="006A1415" w:rsidRDefault="006A1415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S1. Omówienie preparatów wykonywanych na zajęciach praktycznych część I</w:t>
            </w:r>
          </w:p>
          <w:p w14:paraId="11E44464" w14:textId="6A17194E" w:rsidR="006A1415" w:rsidRDefault="006A1415" w:rsidP="006A1415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S1. Omówienie preparatów wykonywanych na zajęciach praktycznych  część II</w:t>
            </w:r>
          </w:p>
          <w:p w14:paraId="32EB047A" w14:textId="26E74054" w:rsidR="006A1415" w:rsidRDefault="006A1415" w:rsidP="00315DA3">
            <w:pPr>
              <w:spacing w:after="0" w:line="259" w:lineRule="auto"/>
              <w:ind w:left="0" w:firstLine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>S3</w:t>
            </w:r>
            <w:r w:rsidRPr="004E4A0A">
              <w:rPr>
                <w:bCs/>
              </w:rPr>
              <w:t xml:space="preserve">. Metody poszukiwania nowych związków o spodziewanym działaniu farmakologicznym. Substancje wiodące i ich optymalizacja. Chemia kombinatoryczna. </w:t>
            </w:r>
            <w:r w:rsidRPr="004E4A0A">
              <w:rPr>
                <w:bCs/>
                <w:i/>
                <w:iCs/>
              </w:rPr>
              <w:t>High Throughput Screening</w:t>
            </w:r>
          </w:p>
          <w:p w14:paraId="4320B9DA" w14:textId="57A18CA4" w:rsidR="006A1415" w:rsidRDefault="006A1415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S4</w:t>
            </w:r>
            <w:r w:rsidRPr="004E4A0A">
              <w:rPr>
                <w:bCs/>
              </w:rPr>
              <w:t>. Syntezy środków leczniczych: Fenytoina, Nifedypina, „Ewolucja syntezy” na przykładzie Fluoksetyny. Synteza asymetryczna.</w:t>
            </w:r>
          </w:p>
          <w:p w14:paraId="16079C3F" w14:textId="252F19AF" w:rsidR="00FA24F5" w:rsidRDefault="006A1415" w:rsidP="007E77E4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>
              <w:rPr>
                <w:bCs/>
              </w:rPr>
              <w:t>S5</w:t>
            </w:r>
            <w:r w:rsidRPr="004E4A0A">
              <w:rPr>
                <w:bCs/>
              </w:rPr>
              <w:t>. Alkilowanie. Syntezy środków leczniczych: Petydyna, Kodeina, Pergolid, Fentanyl, Klozapina i Hydrochlorotiazyd.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D01CF64" w14:textId="77777777" w:rsidR="006A1415" w:rsidRDefault="006A1415" w:rsidP="008B0D5F">
            <w:pPr>
              <w:spacing w:after="0" w:line="259" w:lineRule="auto"/>
              <w:ind w:left="0" w:firstLine="0"/>
            </w:pPr>
          </w:p>
        </w:tc>
      </w:tr>
      <w:tr w:rsidR="008B0D5F" w:rsidRPr="00C01834" w14:paraId="6B8FA3CA" w14:textId="5258BF42" w:rsidTr="00CA3AC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165DA5D5" w14:textId="46F42D93" w:rsidR="008B0D5F" w:rsidRPr="00C01834" w:rsidRDefault="008B0D5F" w:rsidP="008B0D5F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t>Ćwiczenia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085434F" w14:textId="60BB1C1E" w:rsidR="008B0D5F" w:rsidRPr="004E4A0A" w:rsidRDefault="008B0D5F" w:rsidP="00315DA3">
            <w:pPr>
              <w:spacing w:after="0" w:line="259" w:lineRule="auto"/>
              <w:ind w:left="0" w:firstLine="0"/>
              <w:jc w:val="center"/>
              <w:rPr>
                <w:bCs/>
              </w:rPr>
            </w:pPr>
            <w:r w:rsidRPr="004E4A0A">
              <w:rPr>
                <w:bCs/>
              </w:rPr>
              <w:t>Ćwiczenia</w:t>
            </w:r>
          </w:p>
          <w:p w14:paraId="21AFAD14" w14:textId="3C4BEB92" w:rsidR="008B0D5F" w:rsidRPr="004E4A0A" w:rsidRDefault="008B0D5F" w:rsidP="00315DA3">
            <w:pPr>
              <w:spacing w:after="0" w:line="259" w:lineRule="auto"/>
              <w:ind w:left="0" w:firstLine="0"/>
              <w:jc w:val="center"/>
              <w:rPr>
                <w:bCs/>
                <w:color w:val="auto"/>
              </w:rPr>
            </w:pPr>
            <w:bookmarkStart w:id="1" w:name="_Hlk72924508"/>
            <w:r w:rsidRPr="004E4A0A">
              <w:rPr>
                <w:bCs/>
              </w:rPr>
              <w:t xml:space="preserve">Ćwiczenia obejmują syntezy substancji </w:t>
            </w:r>
            <w:r w:rsidR="003B6B08">
              <w:rPr>
                <w:bCs/>
              </w:rPr>
              <w:t>czynnych</w:t>
            </w:r>
            <w:r w:rsidRPr="004E4A0A">
              <w:rPr>
                <w:bCs/>
              </w:rPr>
              <w:t xml:space="preserve"> oraz oczyszczanie produktów reakcji w skali laboratoryjnej. Każdy student wykonuje samodzielnie lub w podgrupie przynajmniej dwa preparaty. Przykłady preparatów: Anestezyna, Cholamid, Etenzamid, Fenytoina, Izoniazyd</w:t>
            </w:r>
            <w:r w:rsidR="008602B3" w:rsidRPr="004E4A0A">
              <w:rPr>
                <w:bCs/>
              </w:rPr>
              <w:t xml:space="preserve">, </w:t>
            </w:r>
            <w:r w:rsidRPr="004E4A0A">
              <w:rPr>
                <w:bCs/>
              </w:rPr>
              <w:t xml:space="preserve">Nifedypina, </w:t>
            </w:r>
            <w:r w:rsidR="000A7378">
              <w:rPr>
                <w:bCs/>
              </w:rPr>
              <w:t>Kwas acetylosalicylow</w:t>
            </w:r>
            <w:r w:rsidRPr="004E4A0A">
              <w:rPr>
                <w:bCs/>
              </w:rPr>
              <w:t>, Sulfanilamid, Witamina PP.  Wybór preparatu i tryb przeprowadzenia syntezy są ustalane indywidualnie przez asystenta prowadzącego. Alternatywnie, zależnie od decyzji prowadzących, część ćwiczeń może przybierać formę projektowania ścieżek syntez wybranych leków przy użyciu baz danych oraz/lub analizy preparatyki wybranych substancji aktywnych.</w:t>
            </w:r>
            <w:bookmarkEnd w:id="1"/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AE3559" w14:textId="378B2978" w:rsidR="008B0D5F" w:rsidRPr="00C01834" w:rsidRDefault="008B0D5F" w:rsidP="008B0D5F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C.W10, C.W11, C.W12, C.W13, C.W14, C.W24, C.W33, C.U9, C.U10, C.U11, C.U34</w:t>
            </w: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C01834" w14:paraId="2D101F15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A8C8D28" w14:textId="0D52F38E" w:rsidR="00014630" w:rsidRPr="00014630" w:rsidRDefault="00014630" w:rsidP="00014630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235"/>
              <w:rPr>
                <w:b/>
                <w:smallCaps/>
                <w:color w:val="auto"/>
              </w:rPr>
            </w:pPr>
            <w:bookmarkStart w:id="2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bookmarkEnd w:id="2"/>
      <w:tr w:rsidR="00F55016" w:rsidRPr="00C01834" w14:paraId="61C9AAC8" w14:textId="77777777" w:rsidTr="00AD6D5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188CD067" w:rsidR="00F55016" w:rsidRPr="00C01834" w:rsidRDefault="00F55016" w:rsidP="00F55016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tr w:rsidR="00F55016" w:rsidRPr="00C01834" w14:paraId="493D1E2C" w14:textId="77777777" w:rsidTr="00527046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D23C759" w14:textId="77777777" w:rsidR="00F55016" w:rsidRPr="00C2789A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cs="Arial"/>
                <w:color w:val="auto"/>
                <w:szCs w:val="18"/>
              </w:rPr>
            </w:pPr>
            <w:r w:rsidRPr="00C2789A">
              <w:rPr>
                <w:rFonts w:cs="Arial"/>
                <w:color w:val="auto"/>
                <w:szCs w:val="18"/>
              </w:rPr>
              <w:t xml:space="preserve">Vogel A. I.: </w:t>
            </w:r>
            <w:r w:rsidRPr="00250E83">
              <w:rPr>
                <w:rFonts w:cs="Arial"/>
                <w:i/>
                <w:color w:val="auto"/>
                <w:szCs w:val="18"/>
              </w:rPr>
              <w:t>Preparatyka organiczna</w:t>
            </w:r>
            <w:r w:rsidRPr="00C2789A">
              <w:rPr>
                <w:rFonts w:cs="Arial"/>
                <w:color w:val="auto"/>
                <w:szCs w:val="18"/>
              </w:rPr>
              <w:t>. Wyd. III</w:t>
            </w:r>
            <w:r>
              <w:rPr>
                <w:rFonts w:cs="Arial"/>
                <w:color w:val="auto"/>
                <w:szCs w:val="18"/>
              </w:rPr>
              <w:t xml:space="preserve">, </w:t>
            </w:r>
            <w:r w:rsidRPr="00C2789A">
              <w:rPr>
                <w:rFonts w:cs="Arial"/>
                <w:color w:val="auto"/>
                <w:szCs w:val="18"/>
              </w:rPr>
              <w:t>WNT</w:t>
            </w:r>
            <w:r>
              <w:rPr>
                <w:rFonts w:cs="Arial"/>
                <w:color w:val="auto"/>
                <w:szCs w:val="18"/>
              </w:rPr>
              <w:t xml:space="preserve"> – Wydawnictwa Naukowo-Techniczne,</w:t>
            </w:r>
            <w:r w:rsidRPr="00C2789A">
              <w:rPr>
                <w:rFonts w:cs="Arial"/>
                <w:color w:val="auto"/>
                <w:szCs w:val="18"/>
              </w:rPr>
              <w:t xml:space="preserve"> 2006 </w:t>
            </w:r>
          </w:p>
          <w:p w14:paraId="10A3898F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Tułecki J.: </w:t>
            </w:r>
            <w:r w:rsidRPr="00250E83">
              <w:rPr>
                <w:i/>
              </w:rPr>
              <w:t>Technologia środków leczniczych</w:t>
            </w:r>
            <w:r>
              <w:t>. Wydawnictwa Lekarskie PZWL, 1978</w:t>
            </w:r>
          </w:p>
          <w:p w14:paraId="6CE0FFE6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Kuczyński L.: </w:t>
            </w:r>
            <w:r w:rsidRPr="00250E83">
              <w:rPr>
                <w:i/>
              </w:rPr>
              <w:t>Technologia leków</w:t>
            </w:r>
            <w:r>
              <w:t xml:space="preserve">. Warszawa </w:t>
            </w:r>
            <w:r w:rsidRPr="00C2789A">
              <w:rPr>
                <w:rFonts w:cs="Arial"/>
                <w:color w:val="auto"/>
                <w:szCs w:val="18"/>
              </w:rPr>
              <w:t>WNT</w:t>
            </w:r>
            <w:r>
              <w:rPr>
                <w:rFonts w:cs="Arial"/>
                <w:color w:val="auto"/>
                <w:szCs w:val="18"/>
              </w:rPr>
              <w:t xml:space="preserve"> – Wydawnictwa Naukowo-Techniczne,</w:t>
            </w:r>
            <w:r>
              <w:t xml:space="preserve"> 1971 </w:t>
            </w:r>
          </w:p>
          <w:p w14:paraId="0EC6094D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Biniecki S.: </w:t>
            </w:r>
            <w:r w:rsidRPr="00250E83">
              <w:rPr>
                <w:i/>
              </w:rPr>
              <w:t>Preparatyka środków leczniczych. Podręcznik dla studentów farmacji</w:t>
            </w:r>
            <w:r>
              <w:t xml:space="preserve">. Wydawnictwo Lekarskie  PZWL, 1983 </w:t>
            </w:r>
          </w:p>
          <w:p w14:paraId="5E5F946E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Marona H.: </w:t>
            </w:r>
            <w:r w:rsidRPr="00250E83">
              <w:rPr>
                <w:i/>
              </w:rPr>
              <w:t>Syntezy środków leczniczych</w:t>
            </w:r>
            <w:r>
              <w:t xml:space="preserve">. Wydawnictwo Uniwersytetu Jagiellońskiego. Kraków, 2002 </w:t>
            </w:r>
          </w:p>
          <w:p w14:paraId="13CE286A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Jerzmanowska Z.: </w:t>
            </w:r>
            <w:r w:rsidRPr="00250E83">
              <w:rPr>
                <w:i/>
              </w:rPr>
              <w:t>Preparatyka organicznych związków chemicznych</w:t>
            </w:r>
            <w:r>
              <w:t xml:space="preserve">. Wydawnictwo Lekarskie PZWL, 1973 </w:t>
            </w:r>
          </w:p>
          <w:p w14:paraId="66F125ED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Kieć- Kononowicz K.: </w:t>
            </w:r>
            <w:r w:rsidRPr="00250E83">
              <w:rPr>
                <w:i/>
              </w:rPr>
              <w:t>Wybrane zagadnienia z metod poszukiwania i otrzymywania środków leczniczych</w:t>
            </w:r>
            <w:r>
              <w:t xml:space="preserve">. Wydawnictwo Uniwersytetu Jagiellońskiego. Kraków, 2000 </w:t>
            </w:r>
          </w:p>
          <w:p w14:paraId="4C48D082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McMurry J.: </w:t>
            </w:r>
            <w:r w:rsidRPr="00250E83">
              <w:rPr>
                <w:i/>
              </w:rPr>
              <w:t>Chemia organiczna</w:t>
            </w:r>
            <w:r>
              <w:t xml:space="preserve">. Tom I i II. Wydawnictwo Naukowe PWN, 2000 </w:t>
            </w:r>
          </w:p>
          <w:p w14:paraId="2073FC25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Tkaczyński T., Tkaczyńska D.: </w:t>
            </w:r>
            <w:r w:rsidRPr="00250E83">
              <w:rPr>
                <w:i/>
              </w:rPr>
              <w:t>Synteza i Technologia Chemiczna Leków</w:t>
            </w:r>
            <w:r>
              <w:t xml:space="preserve">. Wydawnictwo Lekarskie PZWL, 1984 </w:t>
            </w:r>
          </w:p>
          <w:p w14:paraId="1C9CE705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Silverman R.B.: </w:t>
            </w:r>
            <w:r w:rsidRPr="00250E83">
              <w:rPr>
                <w:i/>
              </w:rPr>
              <w:t>Chemia organiczna w projektowaniu leków</w:t>
            </w:r>
            <w:r>
              <w:t xml:space="preserve">.WNT- Wydawnictwa Naukowo-Techniczne, 2004 </w:t>
            </w:r>
          </w:p>
          <w:p w14:paraId="4A575A8C" w14:textId="77777777" w:rsidR="00F55016" w:rsidRPr="00C2789A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  <w:rPr>
                <w:lang w:val="en-US"/>
              </w:rPr>
            </w:pPr>
            <w:r w:rsidRPr="00C2789A">
              <w:rPr>
                <w:lang w:val="en-US"/>
              </w:rPr>
              <w:t xml:space="preserve">Rylander P.N.: </w:t>
            </w:r>
            <w:r w:rsidRPr="00250E83">
              <w:rPr>
                <w:i/>
                <w:lang w:val="en-US"/>
              </w:rPr>
              <w:t>Hydrogenation methods</w:t>
            </w:r>
            <w:r w:rsidRPr="00C2789A">
              <w:rPr>
                <w:lang w:val="en-US"/>
              </w:rPr>
              <w:t>. Academic Press. London</w:t>
            </w:r>
            <w:r>
              <w:rPr>
                <w:lang w:val="en-US"/>
              </w:rPr>
              <w:t xml:space="preserve">, </w:t>
            </w:r>
            <w:r w:rsidRPr="00C2789A">
              <w:rPr>
                <w:lang w:val="en-US"/>
              </w:rPr>
              <w:t xml:space="preserve"> 1985 </w:t>
            </w:r>
          </w:p>
          <w:p w14:paraId="14397B63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 w:rsidRPr="00C2789A">
              <w:t xml:space="preserve">Alder R.W., Baker R., Brown J.M.: </w:t>
            </w:r>
            <w:r w:rsidRPr="00250E83">
              <w:rPr>
                <w:i/>
              </w:rPr>
              <w:t>Mechanizmy reakcji w Chemii Organicznej</w:t>
            </w:r>
            <w:r w:rsidRPr="00C2789A">
              <w:t xml:space="preserve">. </w:t>
            </w:r>
            <w:r>
              <w:t xml:space="preserve">Wydawnictwo Naukowe PWN, 1977 </w:t>
            </w:r>
          </w:p>
          <w:p w14:paraId="7C3F4639" w14:textId="77777777" w:rsidR="00F55016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</w:pPr>
            <w:r>
              <w:t xml:space="preserve">Gawroński J., Gawrońska K., Kacprzak K., Kwit M.: </w:t>
            </w:r>
            <w:r w:rsidRPr="00250E83">
              <w:rPr>
                <w:i/>
              </w:rPr>
              <w:t>Współczesna Synteza Organiczna</w:t>
            </w:r>
            <w:r w:rsidRPr="008F0137">
              <w:rPr>
                <w:i/>
              </w:rPr>
              <w:t>. Wybór eksperymentów.</w:t>
            </w:r>
            <w:r>
              <w:t xml:space="preserve"> Wydawnictwo Naukowe PWN, 2004 </w:t>
            </w:r>
          </w:p>
          <w:p w14:paraId="227600EE" w14:textId="77777777" w:rsidR="00F55016" w:rsidRPr="00CC6681" w:rsidRDefault="00F55016" w:rsidP="00F55016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  <w:rPr>
                <w:color w:val="auto"/>
              </w:rPr>
            </w:pPr>
            <w:r>
              <w:t xml:space="preserve">13. Patrick L.G.: Chemia medyczna. </w:t>
            </w:r>
            <w:r w:rsidRPr="00250E83">
              <w:rPr>
                <w:i/>
              </w:rPr>
              <w:t>Podstawowe zagadnienia</w:t>
            </w:r>
            <w:r>
              <w:t xml:space="preserve">. WNT-Wydawnictwa Naukowo-Techniczne, 2001 </w:t>
            </w:r>
          </w:p>
          <w:p w14:paraId="10528821" w14:textId="61937744" w:rsidR="00F55016" w:rsidRPr="007E77E4" w:rsidRDefault="00CC6681" w:rsidP="007E77E4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360"/>
              <w:rPr>
                <w:color w:val="auto"/>
              </w:rPr>
            </w:pPr>
            <w:r>
              <w:t xml:space="preserve">Materiały </w:t>
            </w:r>
            <w:r w:rsidRPr="00E41E17">
              <w:rPr>
                <w:szCs w:val="18"/>
              </w:rPr>
              <w:t xml:space="preserve">pomocnicze umieszczone na stronie internetowej  Katedry </w:t>
            </w:r>
            <w:r w:rsidR="00401416">
              <w:rPr>
                <w:szCs w:val="18"/>
              </w:rPr>
              <w:t xml:space="preserve">i Zakładu </w:t>
            </w:r>
            <w:r w:rsidRPr="00E41E17">
              <w:rPr>
                <w:szCs w:val="18"/>
              </w:rPr>
              <w:t>Technologii Leków</w:t>
            </w:r>
            <w:r>
              <w:rPr>
                <w:szCs w:val="18"/>
              </w:rPr>
              <w:t xml:space="preserve"> </w:t>
            </w:r>
            <w:r w:rsidRPr="00E41E17">
              <w:rPr>
                <w:szCs w:val="18"/>
              </w:rPr>
              <w:t>i Biotechnologii Farmaceutycznej</w:t>
            </w:r>
          </w:p>
        </w:tc>
      </w:tr>
      <w:tr w:rsidR="00F55016" w:rsidRPr="00C01834" w14:paraId="5412C923" w14:textId="77777777" w:rsidTr="00014630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5B93C95" w:rsidR="00F55016" w:rsidRPr="00014630" w:rsidRDefault="00F55016" w:rsidP="00F55016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  <w:r w:rsidR="00401416">
              <w:rPr>
                <w:b/>
                <w:bCs/>
                <w:color w:val="auto"/>
              </w:rPr>
              <w:t xml:space="preserve"> </w:t>
            </w:r>
          </w:p>
        </w:tc>
      </w:tr>
      <w:tr w:rsidR="00F55016" w:rsidRPr="005D2BCE" w14:paraId="2B0597DD" w14:textId="77777777" w:rsidTr="003524C9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F3CE8CE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62AD5">
              <w:rPr>
                <w:lang w:val="en-US"/>
              </w:rPr>
              <w:t xml:space="preserve">1. Dehmlow E.V., Dehmlow S.S.: </w:t>
            </w:r>
            <w:r w:rsidRPr="00250E83">
              <w:rPr>
                <w:i/>
                <w:lang w:val="en-US"/>
              </w:rPr>
              <w:t>Phase Transfer Catalysis</w:t>
            </w:r>
            <w:r w:rsidRPr="00362AD5">
              <w:rPr>
                <w:lang w:val="en-US"/>
              </w:rPr>
              <w:t>, Third, Revised and Enlarged Edition. VCH, Weinheim. New York</w:t>
            </w:r>
            <w:r>
              <w:rPr>
                <w:lang w:val="en-US"/>
              </w:rPr>
              <w:t>,</w:t>
            </w:r>
            <w:r w:rsidRPr="00362AD5">
              <w:rPr>
                <w:lang w:val="en-US"/>
              </w:rPr>
              <w:t xml:space="preserve"> 1993 </w:t>
            </w:r>
          </w:p>
          <w:p w14:paraId="0EBC2671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62AD5">
              <w:rPr>
                <w:lang w:val="en-US"/>
              </w:rPr>
              <w:t xml:space="preserve">2. Blaser H.U., Schmidt E. (Eds): </w:t>
            </w:r>
            <w:r w:rsidRPr="00250E83">
              <w:rPr>
                <w:i/>
                <w:lang w:val="en-US"/>
              </w:rPr>
              <w:t>Asymmetric Catalysis on Industrial Scale. Challenges, Approaches and Solutions</w:t>
            </w:r>
            <w:r w:rsidRPr="00362AD5">
              <w:rPr>
                <w:lang w:val="en-US"/>
              </w:rPr>
              <w:t>. Wiley-VCH Verlag GmbH</w:t>
            </w:r>
          </w:p>
          <w:p w14:paraId="631B7D6A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62AD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362AD5">
              <w:rPr>
                <w:lang w:val="en-US"/>
              </w:rPr>
              <w:t>and Co. KGaA. Weinheim</w:t>
            </w:r>
            <w:r>
              <w:rPr>
                <w:lang w:val="en-US"/>
              </w:rPr>
              <w:t>,</w:t>
            </w:r>
            <w:r w:rsidRPr="00362AD5">
              <w:rPr>
                <w:lang w:val="en-US"/>
              </w:rPr>
              <w:t xml:space="preserve"> 2004 </w:t>
            </w:r>
          </w:p>
          <w:p w14:paraId="30A72679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62AD5">
              <w:rPr>
                <w:lang w:val="en-US"/>
              </w:rPr>
              <w:t>3. Smith M.B., March J.: Advanced Organic Chemistry, Reactions, Mechanisms and Structure. Fifth Edition. John Wiley and Sons, INC.</w:t>
            </w:r>
          </w:p>
          <w:p w14:paraId="177BB711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362AD5">
              <w:rPr>
                <w:lang w:val="en-US"/>
              </w:rPr>
              <w:t xml:space="preserve"> New York</w:t>
            </w:r>
            <w:r>
              <w:rPr>
                <w:lang w:val="en-US"/>
              </w:rPr>
              <w:t>,</w:t>
            </w:r>
            <w:r w:rsidRPr="00362AD5">
              <w:rPr>
                <w:lang w:val="en-US"/>
              </w:rPr>
              <w:t xml:space="preserve"> 2001 </w:t>
            </w:r>
          </w:p>
          <w:p w14:paraId="002AC91E" w14:textId="77777777" w:rsidR="00F55016" w:rsidRDefault="00F550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 w:rsidRPr="00362AD5">
              <w:rPr>
                <w:lang w:val="en-US"/>
              </w:rPr>
              <w:t>4. Collins A.N., Sheldrake G.N., Crosby J.:</w:t>
            </w:r>
            <w:r>
              <w:rPr>
                <w:lang w:val="en-US"/>
              </w:rPr>
              <w:t xml:space="preserve"> </w:t>
            </w:r>
            <w:r w:rsidRPr="00362AD5">
              <w:rPr>
                <w:lang w:val="en-US"/>
              </w:rPr>
              <w:t xml:space="preserve"> </w:t>
            </w:r>
            <w:r w:rsidRPr="00250E83">
              <w:rPr>
                <w:i/>
                <w:lang w:val="en-US"/>
              </w:rPr>
              <w:t>Chirality in Industry Part 1</w:t>
            </w:r>
            <w:r w:rsidRPr="00362AD5">
              <w:rPr>
                <w:lang w:val="en-US"/>
              </w:rPr>
              <w:t>. John Wiley and Sons. Chichester</w:t>
            </w:r>
            <w:r>
              <w:rPr>
                <w:lang w:val="en-US"/>
              </w:rPr>
              <w:t>,</w:t>
            </w:r>
            <w:r w:rsidRPr="00362AD5">
              <w:rPr>
                <w:lang w:val="en-US"/>
              </w:rPr>
              <w:t xml:space="preserve"> 1992 </w:t>
            </w:r>
          </w:p>
          <w:p w14:paraId="04723162" w14:textId="7BF6B164" w:rsidR="00F55016" w:rsidRDefault="004014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r w:rsidR="00F55016" w:rsidRPr="00362AD5">
              <w:rPr>
                <w:lang w:val="en-US"/>
              </w:rPr>
              <w:t xml:space="preserve">. Collins A.N., Sheldrake G.N., Crosby J.: </w:t>
            </w:r>
            <w:r w:rsidR="00F55016" w:rsidRPr="00250E83">
              <w:rPr>
                <w:i/>
                <w:lang w:val="en-US"/>
              </w:rPr>
              <w:t>Chirality in Industry Part 2</w:t>
            </w:r>
            <w:r w:rsidR="00F55016" w:rsidRPr="00362AD5">
              <w:rPr>
                <w:lang w:val="en-US"/>
              </w:rPr>
              <w:t>. John Wiley and Sons. Chichester</w:t>
            </w:r>
            <w:r w:rsidR="00F55016">
              <w:rPr>
                <w:lang w:val="en-US"/>
              </w:rPr>
              <w:t>,</w:t>
            </w:r>
            <w:r w:rsidR="00F55016" w:rsidRPr="00362AD5">
              <w:rPr>
                <w:lang w:val="en-US"/>
              </w:rPr>
              <w:t xml:space="preserve"> 1997 </w:t>
            </w:r>
          </w:p>
          <w:p w14:paraId="2BDD39E5" w14:textId="7FF844A8" w:rsidR="00F55016" w:rsidRDefault="004014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F55016" w:rsidRPr="00362AD5">
              <w:rPr>
                <w:lang w:val="en-US"/>
              </w:rPr>
              <w:t xml:space="preserve">. Noyori R.: </w:t>
            </w:r>
            <w:r w:rsidR="00F55016" w:rsidRPr="00250E83">
              <w:rPr>
                <w:i/>
                <w:lang w:val="en-US"/>
              </w:rPr>
              <w:t>Asymmetric Catalysis in Organic Chemistry</w:t>
            </w:r>
            <w:r w:rsidR="00F55016" w:rsidRPr="00362AD5">
              <w:rPr>
                <w:lang w:val="en-US"/>
              </w:rPr>
              <w:t>. John Wiley and Sons. New York</w:t>
            </w:r>
            <w:r w:rsidR="00F55016">
              <w:rPr>
                <w:lang w:val="en-US"/>
              </w:rPr>
              <w:t>,</w:t>
            </w:r>
            <w:r w:rsidR="00F55016" w:rsidRPr="00362AD5">
              <w:rPr>
                <w:lang w:val="en-US"/>
              </w:rPr>
              <w:t xml:space="preserve"> 1994 </w:t>
            </w:r>
          </w:p>
          <w:p w14:paraId="6102DE5E" w14:textId="21D4F734" w:rsidR="00F55016" w:rsidRDefault="004014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F55016" w:rsidRPr="00362AD5">
              <w:rPr>
                <w:lang w:val="en-US"/>
              </w:rPr>
              <w:t xml:space="preserve">. Gadamasetti K.G.: Process </w:t>
            </w:r>
            <w:r w:rsidR="00F55016" w:rsidRPr="00250E83">
              <w:rPr>
                <w:i/>
                <w:lang w:val="en-US"/>
              </w:rPr>
              <w:t>Chemistry in the Pharmaceutical Industry</w:t>
            </w:r>
            <w:r w:rsidR="00F55016" w:rsidRPr="00362AD5">
              <w:rPr>
                <w:lang w:val="en-US"/>
              </w:rPr>
              <w:t xml:space="preserve">. Macel Deckker, INC. New York, Basel 1999 </w:t>
            </w:r>
          </w:p>
          <w:p w14:paraId="46199D71" w14:textId="150760D1" w:rsidR="00F55016" w:rsidRDefault="00401416" w:rsidP="00F55016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F55016" w:rsidRPr="00362AD5">
              <w:rPr>
                <w:lang w:val="en-US"/>
              </w:rPr>
              <w:t xml:space="preserve">. Crossley R.: </w:t>
            </w:r>
            <w:r w:rsidR="00F55016" w:rsidRPr="00250E83">
              <w:rPr>
                <w:i/>
                <w:lang w:val="en-US"/>
              </w:rPr>
              <w:t>Chirality and the Biological Activity of Drugs</w:t>
            </w:r>
            <w:r w:rsidR="00F55016" w:rsidRPr="00362AD5">
              <w:rPr>
                <w:lang w:val="en-US"/>
              </w:rPr>
              <w:t>. CRC Press, Boca Raton. New York</w:t>
            </w:r>
            <w:r w:rsidR="00F55016">
              <w:rPr>
                <w:lang w:val="en-US"/>
              </w:rPr>
              <w:t>,</w:t>
            </w:r>
            <w:r w:rsidR="00F55016" w:rsidRPr="00362AD5">
              <w:rPr>
                <w:lang w:val="en-US"/>
              </w:rPr>
              <w:t xml:space="preserve"> 1995 </w:t>
            </w:r>
          </w:p>
          <w:p w14:paraId="5FB9DFC0" w14:textId="18573F87" w:rsidR="00F55016" w:rsidRDefault="00401416" w:rsidP="00F55016">
            <w:pPr>
              <w:spacing w:after="0" w:line="259" w:lineRule="auto"/>
              <w:ind w:left="0" w:firstLine="0"/>
            </w:pPr>
            <w:r>
              <w:rPr>
                <w:lang w:val="en-US"/>
              </w:rPr>
              <w:t>9</w:t>
            </w:r>
            <w:r w:rsidR="00F55016" w:rsidRPr="00362AD5">
              <w:rPr>
                <w:lang w:val="en-US"/>
              </w:rPr>
              <w:t xml:space="preserve">. Gualtieri F.: </w:t>
            </w:r>
            <w:r w:rsidR="00F55016" w:rsidRPr="00250E83">
              <w:rPr>
                <w:i/>
                <w:lang w:val="en-US"/>
              </w:rPr>
              <w:t xml:space="preserve">New Trends in Synthetic Medicinal Chemistry </w:t>
            </w:r>
            <w:r w:rsidR="00F55016" w:rsidRPr="00362AD5">
              <w:rPr>
                <w:lang w:val="en-US"/>
              </w:rPr>
              <w:t xml:space="preserve">Vol.7, Wiley – VCH Weinheim. </w:t>
            </w:r>
            <w:r w:rsidR="00F55016">
              <w:t xml:space="preserve">New York, 2000 </w:t>
            </w:r>
          </w:p>
          <w:p w14:paraId="78C9B192" w14:textId="5F4C5A0C" w:rsidR="00F55016" w:rsidRPr="002B5AA0" w:rsidRDefault="00F55016" w:rsidP="00F55016">
            <w:pPr>
              <w:spacing w:after="0" w:line="259" w:lineRule="auto"/>
              <w:ind w:left="0" w:firstLine="0"/>
            </w:pPr>
            <w:r>
              <w:t>1</w:t>
            </w:r>
            <w:r w:rsidR="00401416">
              <w:t>0</w:t>
            </w:r>
            <w:r>
              <w:t xml:space="preserve">. Zieliński W., Rajca A.: </w:t>
            </w:r>
            <w:r w:rsidRPr="00250E83">
              <w:rPr>
                <w:i/>
              </w:rPr>
              <w:t>Metody Spektroskopowe i ich zastosowanie do identyfikacji związków organicznych</w:t>
            </w:r>
            <w:r>
              <w:t xml:space="preserve">. </w:t>
            </w:r>
            <w:r w:rsidRPr="002B5AA0">
              <w:t xml:space="preserve">WNT- Wydawnictwa Naukowo-Techniczne,  2000 </w:t>
            </w:r>
          </w:p>
          <w:p w14:paraId="47BFFACE" w14:textId="784096B7" w:rsidR="00F55016" w:rsidRPr="00FE58E6" w:rsidRDefault="00F55016" w:rsidP="00FE58E6">
            <w:pPr>
              <w:spacing w:after="0" w:line="259" w:lineRule="auto"/>
              <w:ind w:left="0" w:right="335" w:firstLine="0"/>
              <w:rPr>
                <w:color w:val="auto"/>
                <w:lang w:val="en-US"/>
              </w:rPr>
            </w:pPr>
            <w:r w:rsidRPr="004E4A0A">
              <w:t>1</w:t>
            </w:r>
            <w:r w:rsidR="00401416" w:rsidRPr="004E4A0A">
              <w:t>1</w:t>
            </w:r>
            <w:r w:rsidRPr="004E4A0A">
              <w:t xml:space="preserve">. </w:t>
            </w:r>
            <w:r w:rsidR="00FE58E6" w:rsidRPr="004E4A0A">
              <w:t xml:space="preserve">Hudlicky M.: </w:t>
            </w:r>
            <w:r w:rsidR="00FE58E6" w:rsidRPr="004E4A0A">
              <w:rPr>
                <w:i/>
              </w:rPr>
              <w:t>Oxidations in Organic Chemistry</w:t>
            </w:r>
            <w:r w:rsidR="00FE58E6" w:rsidRPr="004E4A0A">
              <w:t xml:space="preserve">. </w:t>
            </w:r>
            <w:r w:rsidR="00FE58E6" w:rsidRPr="00362AD5">
              <w:rPr>
                <w:lang w:val="en-US"/>
              </w:rPr>
              <w:t xml:space="preserve">ACS Monograph 186. </w:t>
            </w:r>
            <w:r w:rsidR="00FE58E6" w:rsidRPr="00FE58E6">
              <w:rPr>
                <w:lang w:val="en-US"/>
              </w:rPr>
              <w:t>Washington,  1990</w:t>
            </w:r>
          </w:p>
        </w:tc>
      </w:tr>
    </w:tbl>
    <w:p w14:paraId="4742B585" w14:textId="7E4DA10D" w:rsidR="00C01834" w:rsidRPr="00FE58E6" w:rsidRDefault="00C01834" w:rsidP="00E55362">
      <w:pPr>
        <w:ind w:left="0" w:firstLine="0"/>
        <w:rPr>
          <w:color w:val="auto"/>
          <w:sz w:val="24"/>
          <w:szCs w:val="24"/>
          <w:lang w:val="en-U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900EC6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014630">
            <w:pPr>
              <w:pStyle w:val="Nagwek1"/>
              <w:numPr>
                <w:ilvl w:val="0"/>
                <w:numId w:val="1"/>
              </w:numPr>
              <w:spacing w:after="241"/>
              <w:jc w:val="left"/>
              <w:rPr>
                <w:smallCaps/>
                <w:color w:val="auto"/>
              </w:rPr>
            </w:pPr>
            <w:r w:rsidRPr="00014630">
              <w:rPr>
                <w:smallCaps/>
                <w:color w:val="auto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3A519A63" w:rsidR="00A3096F" w:rsidRPr="00C01834" w:rsidRDefault="00A42ACC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CC6681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4112615" w14:textId="23A3CF9C" w:rsidR="00CC6681" w:rsidRPr="00C01834" w:rsidRDefault="00CC6681" w:rsidP="00CC668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C.W10, C.W11, CW12, C.W13, C.W14,C.W24, C.W33, C.U9, C.U10, C.U11, C.U34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248F6363" w:rsidR="00CC6681" w:rsidRPr="00C01834" w:rsidRDefault="00CC6681" w:rsidP="00CC668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 xml:space="preserve">egzamin pisemny </w:t>
            </w:r>
            <w:r w:rsidR="00C54BDF">
              <w:t xml:space="preserve">w formie pytań otwartych - </w:t>
            </w:r>
            <w:r w:rsidR="00DE5CD1">
              <w:t>25</w:t>
            </w:r>
            <w:r>
              <w:t>pkt.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F62654C" w14:textId="77777777" w:rsidR="00CC6681" w:rsidRDefault="00CC6681" w:rsidP="00CC6681">
            <w:pPr>
              <w:spacing w:after="0" w:line="259" w:lineRule="auto"/>
              <w:ind w:left="0" w:firstLine="0"/>
            </w:pPr>
            <w:r>
              <w:t xml:space="preserve">przygotowanie sprawozdań z syntez wybranych API </w:t>
            </w:r>
          </w:p>
          <w:p w14:paraId="6CD4D5F2" w14:textId="77777777" w:rsidR="00CC6681" w:rsidRDefault="00CC6681" w:rsidP="00CC6681">
            <w:pPr>
              <w:spacing w:after="0" w:line="259" w:lineRule="auto"/>
              <w:ind w:left="0" w:firstLine="0"/>
            </w:pPr>
          </w:p>
          <w:p w14:paraId="3C208DBD" w14:textId="77777777" w:rsidR="00CC6681" w:rsidRDefault="00CC6681" w:rsidP="00CC6681">
            <w:pPr>
              <w:spacing w:after="0" w:line="259" w:lineRule="auto"/>
              <w:ind w:left="0" w:firstLine="0"/>
            </w:pPr>
            <w:r>
              <w:t>pozytywne oceny z kolokwiów</w:t>
            </w:r>
          </w:p>
          <w:p w14:paraId="47EA69FF" w14:textId="77777777" w:rsidR="00CC6681" w:rsidRDefault="00CC6681" w:rsidP="00CC6681">
            <w:pPr>
              <w:spacing w:after="0" w:line="259" w:lineRule="auto"/>
              <w:ind w:left="0" w:firstLine="0"/>
            </w:pPr>
          </w:p>
          <w:p w14:paraId="06F1296B" w14:textId="77777777" w:rsidR="00CC6681" w:rsidRDefault="00CC6681" w:rsidP="00CC6681">
            <w:pPr>
              <w:spacing w:after="0" w:line="259" w:lineRule="auto"/>
              <w:ind w:left="0" w:firstLine="0"/>
            </w:pPr>
            <w:r>
              <w:t xml:space="preserve">pozytywna ocena z egzaminu pisemnego zawierającego </w:t>
            </w:r>
          </w:p>
          <w:p w14:paraId="6CCE8FD0" w14:textId="77777777" w:rsidR="00CC6681" w:rsidRDefault="00CC6681" w:rsidP="00CC6681">
            <w:pPr>
              <w:spacing w:after="0" w:line="259" w:lineRule="auto"/>
              <w:ind w:left="0" w:firstLine="0"/>
            </w:pPr>
            <w:r>
              <w:t>5 pytań otwartych</w:t>
            </w:r>
          </w:p>
          <w:p w14:paraId="4B700344" w14:textId="77777777" w:rsidR="00CC6681" w:rsidRDefault="00CC6681" w:rsidP="00CC6681">
            <w:pPr>
              <w:spacing w:after="0" w:line="259" w:lineRule="auto"/>
              <w:ind w:left="0" w:firstLine="0"/>
            </w:pPr>
          </w:p>
          <w:p w14:paraId="4D20FD21" w14:textId="09A4D616" w:rsidR="00CC6681" w:rsidRPr="00C01834" w:rsidRDefault="00CC6681" w:rsidP="00CC6681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t>maksymalna liczba punktów</w:t>
            </w:r>
            <w:r w:rsidR="00DE5CD1">
              <w:t xml:space="preserve"> 25 </w:t>
            </w:r>
            <w:r>
              <w:t xml:space="preserve">minimalna liczba punktów </w:t>
            </w:r>
            <w:r w:rsidR="00DE5CD1">
              <w:t>15</w:t>
            </w:r>
          </w:p>
        </w:tc>
      </w:tr>
    </w:tbl>
    <w:p w14:paraId="436EE3ED" w14:textId="77777777" w:rsidR="00C01834" w:rsidRPr="00E55362" w:rsidRDefault="00C01834" w:rsidP="00E55362">
      <w:pPr>
        <w:spacing w:after="0" w:line="264" w:lineRule="auto"/>
        <w:ind w:left="-6" w:hanging="11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9E3ED7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45F2C203" w:rsidR="00014630" w:rsidRPr="00E55362" w:rsidRDefault="00E55362" w:rsidP="00E55362">
            <w:pPr>
              <w:pStyle w:val="Akapitzlist"/>
              <w:numPr>
                <w:ilvl w:val="0"/>
                <w:numId w:val="1"/>
              </w:numPr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284838B" w14:textId="7897AA31" w:rsidR="00CC6681" w:rsidRDefault="00CC6681" w:rsidP="00CC6681">
            <w:pPr>
              <w:spacing w:after="0" w:line="259" w:lineRule="auto"/>
              <w:ind w:left="0" w:right="235" w:firstLine="0"/>
            </w:pPr>
            <w:r>
              <w:t xml:space="preserve">Osoba odpowiedzialna za dydaktykę prof. dr hab. Jadwiga Turło, e-mail: </w:t>
            </w:r>
            <w:hyperlink r:id="rId11" w:history="1">
              <w:r w:rsidRPr="00BE00A2">
                <w:rPr>
                  <w:rStyle w:val="Hipercze"/>
                </w:rPr>
                <w:t>jadwiga.turlo@wum.edu.pl</w:t>
              </w:r>
            </w:hyperlink>
            <w:r>
              <w:t xml:space="preserve"> </w:t>
            </w:r>
          </w:p>
          <w:p w14:paraId="72D6D98C" w14:textId="7E9E371A" w:rsidR="00CD11EC" w:rsidRDefault="00CD11EC" w:rsidP="00CC6681">
            <w:pPr>
              <w:spacing w:after="0" w:line="259" w:lineRule="auto"/>
              <w:ind w:left="0" w:right="235" w:firstLine="0"/>
            </w:pPr>
            <w:r>
              <w:t xml:space="preserve">Link do strony internetowej: </w:t>
            </w:r>
            <w:hyperlink r:id="rId12" w:history="1">
              <w:r w:rsidRPr="00CD11EC">
                <w:rPr>
                  <w:rStyle w:val="Hipercze"/>
                </w:rPr>
                <w:t>https://tsl.wum.edu.pl/</w:t>
              </w:r>
            </w:hyperlink>
          </w:p>
          <w:p w14:paraId="60B75884" w14:textId="5156325C" w:rsidR="00CC6681" w:rsidRPr="00CD11EC" w:rsidRDefault="00CC6681" w:rsidP="00CC6681">
            <w:pPr>
              <w:spacing w:after="0" w:line="259" w:lineRule="auto"/>
              <w:ind w:left="0" w:right="235" w:firstLine="0"/>
              <w:rPr>
                <w:lang w:val="en-US"/>
              </w:rPr>
            </w:pPr>
            <w:r w:rsidRPr="00CD11EC">
              <w:rPr>
                <w:lang w:val="en-US"/>
              </w:rPr>
              <w:t xml:space="preserve">e-mail: </w:t>
            </w:r>
            <w:hyperlink r:id="rId13" w:history="1">
              <w:r w:rsidRPr="00CD11EC">
                <w:rPr>
                  <w:rStyle w:val="Hipercze"/>
                  <w:lang w:val="en-US"/>
                </w:rPr>
                <w:t>tsl@wum.edu.pl</w:t>
              </w:r>
            </w:hyperlink>
            <w:r w:rsidRPr="00CD11EC">
              <w:rPr>
                <w:lang w:val="en-US"/>
              </w:rPr>
              <w:t xml:space="preserve"> </w:t>
            </w:r>
          </w:p>
          <w:p w14:paraId="74CBA4E1" w14:textId="6B74F3FB" w:rsidR="00CC6681" w:rsidRDefault="00CC6681" w:rsidP="00CC6681">
            <w:pPr>
              <w:spacing w:after="0" w:line="259" w:lineRule="auto"/>
              <w:ind w:left="0" w:right="235" w:firstLine="0"/>
            </w:pPr>
            <w:r>
              <w:t xml:space="preserve">Przy </w:t>
            </w:r>
            <w:r w:rsidR="005D2BCE">
              <w:t xml:space="preserve">Katedrze i </w:t>
            </w:r>
            <w:r>
              <w:t xml:space="preserve">Zakładzie Technologii Leków i Biotechnologii Farmaceutycznej działa studenckie koło naukowe Syntezy Leków „Synthesis” . Studenci zgłaszający się na ćwiczenia mają obowiązek posiadać fartuch laboratoryjny oraz obuwie zamienne. </w:t>
            </w:r>
          </w:p>
          <w:p w14:paraId="43813F47" w14:textId="77777777" w:rsidR="00CC6681" w:rsidRDefault="00CC6681" w:rsidP="00CC6681">
            <w:pPr>
              <w:spacing w:after="0" w:line="259" w:lineRule="auto"/>
              <w:ind w:left="0" w:right="235" w:firstLine="0"/>
            </w:pPr>
            <w:r>
              <w:t xml:space="preserve">Warunkiem przystąpienia do ćwiczeń jest posiadanie aktualnego ubezpieczenia. </w:t>
            </w:r>
          </w:p>
          <w:p w14:paraId="30B95A91" w14:textId="77777777" w:rsidR="00C54BDF" w:rsidRDefault="00C54BDF" w:rsidP="00CC6681">
            <w:pPr>
              <w:spacing w:after="0" w:line="259" w:lineRule="auto"/>
              <w:ind w:left="0" w:right="235" w:firstLine="0"/>
            </w:pPr>
            <w:r>
              <w:t>Seminaria i ćwiczenia prowadzone są w formie stacjonarnej.</w:t>
            </w:r>
          </w:p>
          <w:p w14:paraId="0B3DF16E" w14:textId="3EDA6F56" w:rsidR="00A33968" w:rsidRDefault="00CC6681" w:rsidP="00CC6681">
            <w:pPr>
              <w:spacing w:after="0" w:line="259" w:lineRule="auto"/>
              <w:ind w:left="0" w:right="235" w:firstLine="0"/>
            </w:pPr>
            <w:r>
              <w:t xml:space="preserve">Przedmiot  zaliczany jest w sesji </w:t>
            </w:r>
            <w:r w:rsidR="00C54BDF">
              <w:t>zimowej</w:t>
            </w:r>
            <w:r>
              <w:t>, w formie egzaminu pisemnego. Kryterium dopuszczenia do egzaminu obejmuje zaliczenie</w:t>
            </w:r>
            <w:r w:rsidR="00CD11EC">
              <w:t xml:space="preserve"> dwóch</w:t>
            </w:r>
            <w:r>
              <w:t xml:space="preserve"> kolokwiów</w:t>
            </w:r>
            <w:r w:rsidR="00CD11EC">
              <w:t xml:space="preserve"> (w przypadku niezaliczenia kolokwium w pierwszym terminie, przewiduje się termin dodatkowy)</w:t>
            </w:r>
            <w:r>
              <w:t xml:space="preserve"> i ćwiczeń (wykonanie zadanych preparatów oraz przedłożenie sprawozdania). Egzamin pisemny zawiera 5 pytań otwartych, obejmujących zagadnienia omawiane na seminariach</w:t>
            </w:r>
            <w:r w:rsidR="00E425D0">
              <w:t xml:space="preserve"> i wykładach</w:t>
            </w:r>
            <w:r>
              <w:t xml:space="preserve"> oraz syntezy środków leczniczych. Każde pytanie punktowane jest w skali od 0 do </w:t>
            </w:r>
            <w:r w:rsidR="00DE5CD1">
              <w:t>5</w:t>
            </w:r>
            <w:r>
              <w:t xml:space="preserve">. Średnia liczba uzyskanych punktów decyduje o ocenie. </w:t>
            </w:r>
            <w:bookmarkStart w:id="3" w:name="_Hlk169563283"/>
            <w:r w:rsidR="00DE5CD1" w:rsidRPr="00DE5CD1">
              <w:t>Ocena</w:t>
            </w:r>
            <w:r w:rsidR="00DE5CD1">
              <w:t>:</w:t>
            </w:r>
            <w:r w:rsidR="00DE5CD1" w:rsidRPr="00DE5CD1">
              <w:t xml:space="preserve"> </w:t>
            </w:r>
            <w:bookmarkStart w:id="4" w:name="_Hlk169562707"/>
            <w:r w:rsidR="00DE5CD1" w:rsidRPr="00DE5CD1">
              <w:t>2,0 (ndst) poniżej 15</w:t>
            </w:r>
            <w:r w:rsidR="00DE5CD1">
              <w:t>,0</w:t>
            </w:r>
            <w:r w:rsidR="00DE5CD1" w:rsidRPr="00DE5CD1">
              <w:t xml:space="preserve"> pkt.</w:t>
            </w:r>
            <w:r w:rsidR="00DE5CD1">
              <w:t xml:space="preserve"> (60%)</w:t>
            </w:r>
            <w:r w:rsidR="00DE5CD1" w:rsidRPr="00DE5CD1">
              <w:t>; 3,0 (dst) 15 – 17 pkt.;  3,5 (ddb) 17,5 – 19 pkt.;  4,0 (db) 19,5 – 21 pkt.; 4,5 (pdb) 21,5 – 23 pkt.; 5,0 (bdb) 23,5 – 25 pkt</w:t>
            </w:r>
            <w:bookmarkEnd w:id="4"/>
            <w:r w:rsidR="00DE5CD1">
              <w:t xml:space="preserve"> (100%)</w:t>
            </w:r>
            <w:r w:rsidR="00DE5CD1" w:rsidRPr="00DE5CD1">
              <w:t>.</w:t>
            </w:r>
            <w:bookmarkEnd w:id="3"/>
          </w:p>
          <w:p w14:paraId="59B86540" w14:textId="77777777" w:rsidR="007E77E4" w:rsidRDefault="007E77E4" w:rsidP="00CC6681">
            <w:pPr>
              <w:spacing w:after="0" w:line="259" w:lineRule="auto"/>
              <w:ind w:left="0" w:right="235" w:firstLine="0"/>
            </w:pPr>
          </w:p>
          <w:p w14:paraId="33517FA5" w14:textId="13F3F2CA" w:rsidR="00A33968" w:rsidRDefault="00A33968" w:rsidP="00A33968">
            <w:pPr>
              <w:spacing w:after="0" w:line="259" w:lineRule="auto"/>
              <w:ind w:left="0" w:right="235" w:firstLine="0"/>
            </w:pPr>
            <w:r>
              <w:t>Nieprzystąpienie do egzaminu w ustalonym terminie bez usprawiedliwienia jest równoznaczne z uzyskaniem oceny niedostatecznej. W przypadku niezdania egzaminu w I  terminie, student może przystąpić do II terminu w najbliższej sesji poprawkowej bądź za zgodą Dziekana w innym terminie. W przypadku uzyskania oceny niedostatecznej w pierwszym i drugim terminie student ma prawo wystąpić do Dziekana o zgodę na przystąpienie do egzaminu komisyjnego.</w:t>
            </w:r>
          </w:p>
          <w:p w14:paraId="71D3F7F8" w14:textId="77777777" w:rsidR="00CC6681" w:rsidRDefault="00A33968" w:rsidP="00A33968">
            <w:pPr>
              <w:spacing w:after="0" w:line="259" w:lineRule="auto"/>
              <w:ind w:left="0" w:right="235" w:firstLine="0"/>
            </w:pPr>
            <w:r>
              <w:t xml:space="preserve">W przypadku usprawiedliwionej nieobecności na egzaminie, studentowi przysługuje dodatkowy termin egzaminacyjny. O przyczynie nieprzystąpienia do egzaminu student powiadamia egzaminatora najpóźniej w ciągu trzech dni roboczych po terminie egzaminu. Zaświadczenie lekarskie usprawiedliwiające nieobecność, student dostarcza do egzaminatora w terminie 7 dni roboczych od dnia wystawienia zaświadczenia, ale nie później niż w ciągu trzech dni roboczych po terminie egzaminu. Dodatkowy termin egzaminu ustala egzaminator w porozumieniu z Dziekanem. Egzamin taki traktuje się jako składany w pierwszym terminie. </w:t>
            </w:r>
          </w:p>
          <w:p w14:paraId="677E6E8D" w14:textId="10B5DA05" w:rsidR="00A33968" w:rsidRPr="00C01834" w:rsidRDefault="00A33968" w:rsidP="007E77E4">
            <w:pPr>
              <w:spacing w:after="0" w:line="259" w:lineRule="auto"/>
              <w:ind w:left="0" w:right="232" w:firstLine="0"/>
              <w:rPr>
                <w:b/>
                <w:color w:val="auto"/>
              </w:rPr>
            </w:pPr>
            <w:r>
              <w:t xml:space="preserve">Egzaminy poprawkowe i komisyjne student obowiązany jest złożyć do końca okresu zaliczeniowego. </w:t>
            </w:r>
          </w:p>
        </w:tc>
      </w:tr>
    </w:tbl>
    <w:p w14:paraId="38D22AA0" w14:textId="60805058" w:rsidR="00F016D9" w:rsidRDefault="00F016D9" w:rsidP="007E77E4">
      <w:pPr>
        <w:spacing w:after="0" w:line="259" w:lineRule="auto"/>
        <w:ind w:left="0" w:firstLine="0"/>
        <w:rPr>
          <w:color w:val="auto"/>
          <w:sz w:val="16"/>
          <w:szCs w:val="16"/>
        </w:rPr>
      </w:pPr>
    </w:p>
    <w:p w14:paraId="00DCEAD7" w14:textId="77777777" w:rsidR="007E77E4" w:rsidRPr="007E77E4" w:rsidRDefault="007E77E4" w:rsidP="007E77E4">
      <w:pPr>
        <w:ind w:left="0" w:firstLine="0"/>
        <w:rPr>
          <w:sz w:val="16"/>
          <w:szCs w:val="16"/>
        </w:rPr>
      </w:pPr>
    </w:p>
    <w:p w14:paraId="0249F645" w14:textId="77777777" w:rsidR="007E77E4" w:rsidRDefault="007E77E4" w:rsidP="007E77E4">
      <w:pPr>
        <w:rPr>
          <w:color w:val="auto"/>
          <w:sz w:val="16"/>
          <w:szCs w:val="16"/>
        </w:rPr>
      </w:pPr>
    </w:p>
    <w:p w14:paraId="4FCEC11C" w14:textId="3668685E" w:rsidR="007E77E4" w:rsidRPr="007E77E4" w:rsidRDefault="007E77E4" w:rsidP="007E77E4">
      <w:pPr>
        <w:tabs>
          <w:tab w:val="left" w:pos="1983"/>
        </w:tabs>
        <w:rPr>
          <w:sz w:val="16"/>
          <w:szCs w:val="16"/>
        </w:rPr>
      </w:pPr>
      <w:r w:rsidRPr="007E77E4">
        <w:rPr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</w:p>
    <w:sectPr w:rsidR="007E77E4" w:rsidRPr="007E77E4" w:rsidSect="00BE00A2">
      <w:footerReference w:type="even" r:id="rId14"/>
      <w:footerReference w:type="default" r:id="rId15"/>
      <w:footerReference w:type="first" r:id="rId16"/>
      <w:pgSz w:w="11906" w:h="16838" w:code="9"/>
      <w:pgMar w:top="1134" w:right="851" w:bottom="1276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0822" w14:textId="77777777" w:rsidR="00040A77" w:rsidRDefault="00040A77">
      <w:pPr>
        <w:spacing w:after="0" w:line="240" w:lineRule="auto"/>
      </w:pPr>
      <w:r>
        <w:separator/>
      </w:r>
    </w:p>
  </w:endnote>
  <w:endnote w:type="continuationSeparator" w:id="0">
    <w:p w14:paraId="43F985D6" w14:textId="77777777" w:rsidR="00040A77" w:rsidRDefault="0004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22BBFB36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D928FC" w:rsidRPr="00D928FC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D928FC" w:rsidRPr="00D928FC">
        <w:rPr>
          <w:noProof/>
          <w:sz w:val="22"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1667" w14:textId="77777777" w:rsidR="00040A77" w:rsidRDefault="00040A77">
      <w:pPr>
        <w:spacing w:after="0" w:line="240" w:lineRule="auto"/>
      </w:pPr>
      <w:r>
        <w:separator/>
      </w:r>
    </w:p>
  </w:footnote>
  <w:footnote w:type="continuationSeparator" w:id="0">
    <w:p w14:paraId="4F990436" w14:textId="77777777" w:rsidR="00040A77" w:rsidRDefault="00040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12887"/>
    <w:multiLevelType w:val="hybridMultilevel"/>
    <w:tmpl w:val="EFDA20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2360">
    <w:abstractNumId w:val="3"/>
  </w:num>
  <w:num w:numId="2" w16cid:durableId="2050952466">
    <w:abstractNumId w:val="2"/>
  </w:num>
  <w:num w:numId="3" w16cid:durableId="1419667679">
    <w:abstractNumId w:val="0"/>
  </w:num>
  <w:num w:numId="4" w16cid:durableId="13927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4C"/>
    <w:rsid w:val="00014630"/>
    <w:rsid w:val="00040A77"/>
    <w:rsid w:val="00042B01"/>
    <w:rsid w:val="00065161"/>
    <w:rsid w:val="000825E9"/>
    <w:rsid w:val="000826B9"/>
    <w:rsid w:val="000A61A5"/>
    <w:rsid w:val="000A7378"/>
    <w:rsid w:val="000B6530"/>
    <w:rsid w:val="000C2C9B"/>
    <w:rsid w:val="000C639F"/>
    <w:rsid w:val="000E7357"/>
    <w:rsid w:val="00133592"/>
    <w:rsid w:val="00141A71"/>
    <w:rsid w:val="00160769"/>
    <w:rsid w:val="001634B5"/>
    <w:rsid w:val="00174DBA"/>
    <w:rsid w:val="00181CEC"/>
    <w:rsid w:val="001B4491"/>
    <w:rsid w:val="001C78B8"/>
    <w:rsid w:val="001D6219"/>
    <w:rsid w:val="001E63CB"/>
    <w:rsid w:val="001F028B"/>
    <w:rsid w:val="002066C4"/>
    <w:rsid w:val="002453B1"/>
    <w:rsid w:val="00292303"/>
    <w:rsid w:val="002A23F0"/>
    <w:rsid w:val="002D197C"/>
    <w:rsid w:val="002F3B26"/>
    <w:rsid w:val="00315DA3"/>
    <w:rsid w:val="0033275B"/>
    <w:rsid w:val="0035040A"/>
    <w:rsid w:val="00354CB7"/>
    <w:rsid w:val="00382A13"/>
    <w:rsid w:val="003A2874"/>
    <w:rsid w:val="003B6B08"/>
    <w:rsid w:val="00401416"/>
    <w:rsid w:val="004166DD"/>
    <w:rsid w:val="00417C37"/>
    <w:rsid w:val="00422398"/>
    <w:rsid w:val="00427F40"/>
    <w:rsid w:val="004448F5"/>
    <w:rsid w:val="00470E8F"/>
    <w:rsid w:val="00476558"/>
    <w:rsid w:val="00477321"/>
    <w:rsid w:val="004E4A0A"/>
    <w:rsid w:val="0052528C"/>
    <w:rsid w:val="005818F5"/>
    <w:rsid w:val="00590D10"/>
    <w:rsid w:val="005944D4"/>
    <w:rsid w:val="005C1831"/>
    <w:rsid w:val="005D2BCE"/>
    <w:rsid w:val="005F440F"/>
    <w:rsid w:val="00637ABB"/>
    <w:rsid w:val="0064087A"/>
    <w:rsid w:val="006A1415"/>
    <w:rsid w:val="006A442B"/>
    <w:rsid w:val="006B012B"/>
    <w:rsid w:val="006C524C"/>
    <w:rsid w:val="006D018B"/>
    <w:rsid w:val="006F32E8"/>
    <w:rsid w:val="00724BB4"/>
    <w:rsid w:val="00724F33"/>
    <w:rsid w:val="00727F61"/>
    <w:rsid w:val="00730239"/>
    <w:rsid w:val="00732CF5"/>
    <w:rsid w:val="00762EFF"/>
    <w:rsid w:val="00792FD5"/>
    <w:rsid w:val="007E77E4"/>
    <w:rsid w:val="00857E3C"/>
    <w:rsid w:val="008602B3"/>
    <w:rsid w:val="00861D21"/>
    <w:rsid w:val="008A2F0E"/>
    <w:rsid w:val="008B0D5F"/>
    <w:rsid w:val="008D2A3B"/>
    <w:rsid w:val="008E3A63"/>
    <w:rsid w:val="008E592D"/>
    <w:rsid w:val="00900EC6"/>
    <w:rsid w:val="00901188"/>
    <w:rsid w:val="00906FCE"/>
    <w:rsid w:val="009B62DF"/>
    <w:rsid w:val="009D2B02"/>
    <w:rsid w:val="009E635F"/>
    <w:rsid w:val="009F6016"/>
    <w:rsid w:val="00A2424B"/>
    <w:rsid w:val="00A276DC"/>
    <w:rsid w:val="00A3096F"/>
    <w:rsid w:val="00A33968"/>
    <w:rsid w:val="00A42ACC"/>
    <w:rsid w:val="00A63CE6"/>
    <w:rsid w:val="00A97D1F"/>
    <w:rsid w:val="00AD2F54"/>
    <w:rsid w:val="00B44E53"/>
    <w:rsid w:val="00B5341A"/>
    <w:rsid w:val="00B5568B"/>
    <w:rsid w:val="00B8221A"/>
    <w:rsid w:val="00B93718"/>
    <w:rsid w:val="00B973EC"/>
    <w:rsid w:val="00BB23E6"/>
    <w:rsid w:val="00BE00A2"/>
    <w:rsid w:val="00BF74E9"/>
    <w:rsid w:val="00BF7BFD"/>
    <w:rsid w:val="00C01834"/>
    <w:rsid w:val="00C117DC"/>
    <w:rsid w:val="00C174A8"/>
    <w:rsid w:val="00C24D59"/>
    <w:rsid w:val="00C54BDF"/>
    <w:rsid w:val="00C92ECE"/>
    <w:rsid w:val="00CA3ACF"/>
    <w:rsid w:val="00CC6681"/>
    <w:rsid w:val="00CD11EC"/>
    <w:rsid w:val="00D147A3"/>
    <w:rsid w:val="00D218D3"/>
    <w:rsid w:val="00D320E0"/>
    <w:rsid w:val="00D56CEB"/>
    <w:rsid w:val="00D8323A"/>
    <w:rsid w:val="00D928FC"/>
    <w:rsid w:val="00D93A54"/>
    <w:rsid w:val="00DE5CD1"/>
    <w:rsid w:val="00DF3749"/>
    <w:rsid w:val="00DF679B"/>
    <w:rsid w:val="00E165E7"/>
    <w:rsid w:val="00E25E0B"/>
    <w:rsid w:val="00E425D0"/>
    <w:rsid w:val="00E55362"/>
    <w:rsid w:val="00E6064C"/>
    <w:rsid w:val="00E817B4"/>
    <w:rsid w:val="00E91F4C"/>
    <w:rsid w:val="00E93D1D"/>
    <w:rsid w:val="00EB4E6F"/>
    <w:rsid w:val="00EE6DD6"/>
    <w:rsid w:val="00EF1F36"/>
    <w:rsid w:val="00F016D9"/>
    <w:rsid w:val="00F23FFA"/>
    <w:rsid w:val="00F279F4"/>
    <w:rsid w:val="00F55016"/>
    <w:rsid w:val="00FA24F5"/>
    <w:rsid w:val="00FA47F1"/>
    <w:rsid w:val="00FC2D6C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1C7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B65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sl@wum.edu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l.wum.edu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rzenna.klimaszewsk\Downloads\jadwiga.turlo@wum.edu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ciej.dawidowski@wum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iej.dawidowski@wum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5569-84C7-4A25-9B2F-9DAE02A5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Anatomia z embriologią</vt:lpstr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Anatomia z embriologią</dc:title>
  <dc:subject/>
  <dc:creator>Maksymilian Radzimirski</dc:creator>
  <cp:keywords/>
  <cp:lastModifiedBy>Maciej Dawidowski</cp:lastModifiedBy>
  <cp:revision>5</cp:revision>
  <cp:lastPrinted>2020-02-05T09:19:00Z</cp:lastPrinted>
  <dcterms:created xsi:type="dcterms:W3CDTF">2025-09-18T10:29:00Z</dcterms:created>
  <dcterms:modified xsi:type="dcterms:W3CDTF">2025-09-30T16:57:00Z</dcterms:modified>
</cp:coreProperties>
</file>