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3E745851" w:rsidR="00C92ECE" w:rsidRPr="009807DC" w:rsidRDefault="00366F44" w:rsidP="005A0E34">
                            <w:pPr>
                              <w:jc w:val="center"/>
                            </w:pPr>
                            <w:r w:rsidRPr="009807DC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Rola farmaceuty i jego miejsce w przemyśle farmaceutycznym</w:t>
                            </w:r>
                            <w:r w:rsidR="003F4B3A" w:rsidRPr="009807DC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. Fakultet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2E017E52" w14:textId="3E745851" w:rsidR="00C92ECE" w:rsidRPr="009807DC" w:rsidRDefault="00366F44" w:rsidP="005A0E34">
                      <w:pPr>
                        <w:jc w:val="center"/>
                      </w:pPr>
                      <w:r w:rsidRPr="009807DC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Rola farmaceuty i jego miejsce w przemyśle farmaceutycznym</w:t>
                      </w:r>
                      <w:r w:rsidR="003F4B3A" w:rsidRPr="009807DC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. Fakultet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1011F1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F4F4091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2023/2024</w:t>
            </w:r>
          </w:p>
        </w:tc>
      </w:tr>
      <w:tr w:rsidR="001011F1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6E6CC3BA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Farmaceutyczny</w:t>
            </w:r>
          </w:p>
        </w:tc>
      </w:tr>
      <w:tr w:rsidR="001011F1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1011F1" w:rsidRPr="00C01834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5D9DBA98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farmacja</w:t>
            </w:r>
          </w:p>
        </w:tc>
      </w:tr>
      <w:tr w:rsidR="001011F1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5FE50653" w:rsidR="001011F1" w:rsidRPr="00C01834" w:rsidRDefault="001011F1" w:rsidP="001011F1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70C3529" w:rsidR="001011F1" w:rsidRPr="00D10E79" w:rsidRDefault="001011F1" w:rsidP="001011F1">
            <w:pPr>
              <w:spacing w:after="0" w:line="259" w:lineRule="auto"/>
              <w:ind w:left="0" w:right="-351" w:firstLine="0"/>
              <w:rPr>
                <w:color w:val="auto"/>
              </w:rPr>
            </w:pPr>
            <w:r w:rsidRPr="00D10E79">
              <w:rPr>
                <w:color w:val="auto"/>
              </w:rPr>
              <w:t>nauki farmaceutyczne</w:t>
            </w:r>
          </w:p>
        </w:tc>
      </w:tr>
      <w:tr w:rsidR="001011F1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66A860D" w:rsidR="001011F1" w:rsidRPr="00C01834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A60147F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praktyczny</w:t>
            </w:r>
          </w:p>
        </w:tc>
      </w:tr>
      <w:tr w:rsidR="001011F1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5FA566C7" w:rsidR="001011F1" w:rsidRPr="00C01834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2FF4B97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Studia jednolite magisterskie</w:t>
            </w:r>
          </w:p>
        </w:tc>
      </w:tr>
      <w:tr w:rsidR="001011F1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6764DA20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2703B8A6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stacjonarne/niestacjonarne</w:t>
            </w:r>
          </w:p>
        </w:tc>
      </w:tr>
      <w:tr w:rsidR="001011F1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2310E4CE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54CF7525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fakultatywny</w:t>
            </w:r>
          </w:p>
        </w:tc>
      </w:tr>
      <w:tr w:rsidR="001011F1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5A266AE2" w:rsidR="001011F1" w:rsidRPr="00C01834" w:rsidRDefault="001011F1" w:rsidP="001011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35CDF92A" w:rsidR="001011F1" w:rsidRPr="00D10E79" w:rsidRDefault="001011F1" w:rsidP="001011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0EDF34D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B0E215" w14:textId="050C6813" w:rsidR="001011F1" w:rsidRPr="00D10E79" w:rsidRDefault="001011F1" w:rsidP="001011F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Katedra i Zakład Technologii Leków i Biotechnologii Farmaceutycznej (KTLiBF) </w:t>
            </w:r>
          </w:p>
          <w:p w14:paraId="63DE2C33" w14:textId="77777777" w:rsidR="001011F1" w:rsidRPr="00D10E79" w:rsidRDefault="001011F1" w:rsidP="001011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WF </w:t>
            </w:r>
            <w:r w:rsidRPr="00D10E79">
              <w:rPr>
                <w:szCs w:val="18"/>
              </w:rPr>
              <w:t>ul. Banacha 1, 02-097 Warszawa</w:t>
            </w:r>
          </w:p>
          <w:p w14:paraId="19815C4F" w14:textId="16FD915A" w:rsidR="00E317BD" w:rsidRPr="00D10E79" w:rsidRDefault="00E317BD" w:rsidP="00E317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D10E79">
              <w:rPr>
                <w:rFonts w:cs="Arial"/>
                <w:iCs/>
                <w:color w:val="auto"/>
                <w:szCs w:val="18"/>
              </w:rPr>
              <w:t xml:space="preserve">Grand Medical Poland Sp. </w:t>
            </w:r>
            <w:r w:rsidR="001B028B" w:rsidRPr="00D10E79">
              <w:rPr>
                <w:rFonts w:cs="Arial"/>
                <w:iCs/>
                <w:color w:val="auto"/>
                <w:szCs w:val="18"/>
              </w:rPr>
              <w:t>z</w:t>
            </w:r>
            <w:r w:rsidRPr="00D10E79">
              <w:rPr>
                <w:rFonts w:cs="Arial"/>
                <w:iCs/>
                <w:color w:val="auto"/>
                <w:szCs w:val="18"/>
              </w:rPr>
              <w:t xml:space="preserve"> o.o. (GM), Faradaya 2, 03-233 Warszawa</w:t>
            </w:r>
          </w:p>
          <w:p w14:paraId="3685F30C" w14:textId="63A7CBCE" w:rsidR="00A63CE6" w:rsidRPr="00D10E79" w:rsidRDefault="005524DE" w:rsidP="005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D10E79">
              <w:rPr>
                <w:szCs w:val="18"/>
              </w:rPr>
              <w:t>BIOTON S.A. (BIO) Macierzysz, ul. Poznańska 12, 05-850 Ożarów Mazowiecki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C9F147" w14:textId="77777777" w:rsidR="006D018B" w:rsidRPr="00D10E79" w:rsidRDefault="00463184" w:rsidP="00463184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color w:val="auto"/>
              </w:rPr>
            </w:pPr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prof. dr hab. J Turło </w:t>
            </w:r>
            <w:r w:rsidRPr="00D10E79">
              <w:rPr>
                <w:rFonts w:cs="Arial"/>
                <w:iCs/>
                <w:szCs w:val="18"/>
              </w:rPr>
              <w:t>(KTLiBF)</w:t>
            </w:r>
          </w:p>
          <w:p w14:paraId="49D8EF4E" w14:textId="77777777" w:rsidR="00463184" w:rsidRPr="00D10E79" w:rsidRDefault="00463184" w:rsidP="00463184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color w:val="auto"/>
              </w:rPr>
            </w:pPr>
            <w:r w:rsidRPr="00D10E79">
              <w:rPr>
                <w:rFonts w:cs="Arial"/>
                <w:color w:val="auto"/>
                <w:szCs w:val="18"/>
                <w:lang w:val="de-DE"/>
              </w:rPr>
              <w:t>mgr Lech Chacimski (GM)</w:t>
            </w:r>
          </w:p>
          <w:p w14:paraId="7F7E5DFB" w14:textId="4C54190C" w:rsidR="00463184" w:rsidRPr="00D10E79" w:rsidRDefault="00463184" w:rsidP="00463184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color w:val="auto"/>
              </w:rPr>
            </w:pPr>
            <w:r w:rsidRPr="00D10E79">
              <w:rPr>
                <w:color w:val="auto"/>
              </w:rPr>
              <w:t>mgr Renata Sobieska-Żołądkiewicz (BIO)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23FB2D05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0965D3B9" w:rsidR="006D018B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dr Martyna Wróbel   </w:t>
            </w:r>
            <w:hyperlink r:id="rId9" w:history="1">
              <w:r w:rsidRPr="00D10E79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martyna.wrobel@wum.edu.pl</w:t>
              </w:r>
            </w:hyperlink>
          </w:p>
        </w:tc>
      </w:tr>
      <w:tr w:rsidR="002C4195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75FAD787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223207" w14:textId="77777777" w:rsidR="002C4195" w:rsidRPr="00D10E79" w:rsidRDefault="002C4195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dr Martyna Wróbel</w:t>
            </w:r>
          </w:p>
          <w:p w14:paraId="4F3E18BC" w14:textId="36BD1217" w:rsidR="002C4195" w:rsidRPr="00D10E79" w:rsidRDefault="00000000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0" w:history="1">
              <w:r w:rsidR="002C4195" w:rsidRPr="00D10E79">
                <w:rPr>
                  <w:rStyle w:val="Hipercze"/>
                </w:rPr>
                <w:t>martyna.wrobel@wum.edu.pl</w:t>
              </w:r>
            </w:hyperlink>
          </w:p>
        </w:tc>
      </w:tr>
      <w:tr w:rsidR="002C4195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3A2DA" w14:textId="5F0D0D09" w:rsidR="002C4195" w:rsidRPr="00D10E79" w:rsidRDefault="001B028B" w:rsidP="002C4195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Katedra i </w:t>
            </w:r>
            <w:r w:rsidR="002C4195" w:rsidRPr="00D10E79">
              <w:rPr>
                <w:rFonts w:cs="Arial"/>
                <w:iCs/>
                <w:szCs w:val="18"/>
              </w:rPr>
              <w:t xml:space="preserve">Zakład Technologii Leków i Biotechnologii Farmaceutycznej </w:t>
            </w:r>
          </w:p>
          <w:p w14:paraId="2536CA82" w14:textId="77777777" w:rsidR="002C4195" w:rsidRPr="00D10E79" w:rsidRDefault="002C4195" w:rsidP="002C4195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  <w:lang w:val="en-US"/>
              </w:rPr>
              <w:t xml:space="preserve">prof. dr hab. J. Turło, dr hab. </w:t>
            </w:r>
            <w:r w:rsidRPr="00D10E79">
              <w:rPr>
                <w:rFonts w:cs="Arial"/>
                <w:iCs/>
                <w:szCs w:val="18"/>
              </w:rPr>
              <w:t>M. Dawidowski, dr P. Ślifirski, dr M. Wróbel</w:t>
            </w:r>
          </w:p>
          <w:p w14:paraId="0C63DB25" w14:textId="0BD2DFC2" w:rsidR="002C4195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  <w:lang w:val="en-US"/>
              </w:rPr>
            </w:pPr>
            <w:r w:rsidRPr="00D10E79">
              <w:rPr>
                <w:rFonts w:cs="Arial"/>
                <w:iCs/>
                <w:color w:val="auto"/>
                <w:szCs w:val="18"/>
                <w:lang w:val="en-US"/>
              </w:rPr>
              <w:t xml:space="preserve">Grand Medical Poland Sp. </w:t>
            </w:r>
            <w:r w:rsidR="00B15A66">
              <w:rPr>
                <w:rFonts w:cs="Arial"/>
                <w:iCs/>
                <w:color w:val="auto"/>
                <w:szCs w:val="18"/>
                <w:lang w:val="en-US"/>
              </w:rPr>
              <w:t>z</w:t>
            </w:r>
            <w:r w:rsidRPr="00D10E79">
              <w:rPr>
                <w:rFonts w:cs="Arial"/>
                <w:iCs/>
                <w:color w:val="auto"/>
                <w:szCs w:val="18"/>
                <w:lang w:val="en-US"/>
              </w:rPr>
              <w:t xml:space="preserve"> o.o. (GM)</w:t>
            </w:r>
          </w:p>
          <w:p w14:paraId="204E8E11" w14:textId="77777777" w:rsidR="002C4195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r w:rsidRPr="00D10E79">
              <w:rPr>
                <w:rFonts w:cs="Arial"/>
                <w:color w:val="auto"/>
                <w:szCs w:val="18"/>
                <w:lang w:val="de-DE"/>
              </w:rPr>
              <w:t>mgr L. Chacimski, mgr L. Roemer</w:t>
            </w:r>
          </w:p>
          <w:p w14:paraId="26DD6ED8" w14:textId="17F20E64" w:rsidR="002C4195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r w:rsidRPr="00D10E79">
              <w:rPr>
                <w:szCs w:val="18"/>
              </w:rPr>
              <w:t>BIOTON S.A. (BIO)</w:t>
            </w:r>
          </w:p>
          <w:p w14:paraId="3B000F9D" w14:textId="06269315" w:rsidR="002C4195" w:rsidRPr="00D10E79" w:rsidRDefault="002C4195" w:rsidP="002C4195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D10E79">
              <w:rPr>
                <w:color w:val="auto"/>
              </w:rPr>
              <w:t>mgr Renata Sobieska-Żołądkiewicz (BIO)</w:t>
            </w:r>
          </w:p>
          <w:p w14:paraId="2D0C66FD" w14:textId="7318A31C" w:rsidR="002C4195" w:rsidRPr="00D10E79" w:rsidRDefault="002C4195" w:rsidP="002C4195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6436FC52" w:rsidR="00C92ECE" w:rsidRPr="00C01834" w:rsidRDefault="00CF6EA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F16B9">
              <w:rPr>
                <w:color w:val="auto"/>
              </w:rPr>
              <w:t>ok V, semestr X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3579858" w:rsidR="00C92ECE" w:rsidRPr="00C01834" w:rsidRDefault="00D63FF3" w:rsidP="00D253ED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2.0</w:t>
            </w:r>
            <w:r w:rsidR="006F1D47">
              <w:rPr>
                <w:color w:val="auto"/>
              </w:rPr>
              <w:t>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524932A" w:rsidR="00C01834" w:rsidRPr="00C01834" w:rsidRDefault="00D63FF3" w:rsidP="00D253E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4E27A79" w:rsidR="00C01834" w:rsidRPr="00C01834" w:rsidRDefault="001B028B" w:rsidP="00D253E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63FF3">
              <w:rPr>
                <w:color w:val="auto"/>
              </w:rPr>
              <w:t>.0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37CC1C3E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0726CA7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87F42C0" w:rsidR="00C01834" w:rsidRPr="00C01834" w:rsidRDefault="001B028B" w:rsidP="00D253E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B112D82" w:rsidR="00C01834" w:rsidRPr="00C01834" w:rsidRDefault="001B028B" w:rsidP="00D253E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0775626A" w:rsidR="00C01834" w:rsidRPr="00C01834" w:rsidRDefault="0047447E" w:rsidP="00F42B3E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Zdobycie wiedzy na temat </w:t>
            </w:r>
            <w:r w:rsidR="001B028B">
              <w:rPr>
                <w:color w:val="auto"/>
              </w:rPr>
              <w:t>r</w:t>
            </w:r>
            <w:r w:rsidR="001B028B" w:rsidRPr="001B028B">
              <w:rPr>
                <w:color w:val="auto"/>
              </w:rPr>
              <w:t>ol</w:t>
            </w:r>
            <w:r w:rsidR="001B028B">
              <w:rPr>
                <w:color w:val="auto"/>
              </w:rPr>
              <w:t>i</w:t>
            </w:r>
            <w:r w:rsidR="001B028B" w:rsidRPr="001B028B">
              <w:rPr>
                <w:color w:val="auto"/>
              </w:rPr>
              <w:t xml:space="preserve"> farmaceuty i jego miejsc</w:t>
            </w:r>
            <w:r>
              <w:rPr>
                <w:color w:val="auto"/>
              </w:rPr>
              <w:t>u</w:t>
            </w:r>
            <w:r w:rsidR="001B028B" w:rsidRPr="001B028B">
              <w:rPr>
                <w:color w:val="auto"/>
              </w:rPr>
              <w:t xml:space="preserve"> w przemyśle farmaceutycznym</w:t>
            </w:r>
            <w:r w:rsidR="001B028B">
              <w:rPr>
                <w:color w:val="auto"/>
              </w:rPr>
              <w:t>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615D3087" w:rsidR="00C01834" w:rsidRPr="00C01834" w:rsidRDefault="0047447E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Zapoznanie studentów z wymaganiami stawianymi pracownikom w działach związanych z farmacją w firmach pracujących w obszarze wytwarzania leków.</w:t>
            </w:r>
          </w:p>
        </w:tc>
      </w:tr>
      <w:tr w:rsidR="0047447E" w:rsidRPr="00C01834" w14:paraId="437499A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85DA8DA" w14:textId="78D54E57" w:rsidR="0047447E" w:rsidRPr="00C01834" w:rsidRDefault="0047447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235B5C" w14:textId="0B205681" w:rsidR="0047447E" w:rsidRDefault="0047447E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Zdobycie wiedzy na temat najważniejszych pojęć, sposobu organizacji, zadań oraz celu funkcjonowania </w:t>
            </w:r>
            <w:r w:rsidR="00EA4CFC">
              <w:rPr>
                <w:color w:val="auto"/>
              </w:rPr>
              <w:t>działów</w:t>
            </w:r>
            <w:r>
              <w:rPr>
                <w:color w:val="auto"/>
              </w:rPr>
              <w:t xml:space="preserve"> w </w:t>
            </w:r>
            <w:r w:rsidR="00EA4CFC">
              <w:rPr>
                <w:color w:val="auto"/>
              </w:rPr>
              <w:t xml:space="preserve">przemyśle </w:t>
            </w:r>
            <w:r>
              <w:rPr>
                <w:color w:val="auto"/>
              </w:rPr>
              <w:t>farmaceutyczny</w:t>
            </w:r>
            <w:r w:rsidR="00EA4CFC">
              <w:rPr>
                <w:color w:val="auto"/>
              </w:rPr>
              <w:t>m</w:t>
            </w:r>
            <w:r>
              <w:rPr>
                <w:color w:val="auto"/>
              </w:rPr>
              <w:t xml:space="preserve"> w których absolwenci farmacji </w:t>
            </w:r>
            <w:r w:rsidR="00EA4CFC">
              <w:rPr>
                <w:color w:val="auto"/>
              </w:rPr>
              <w:t xml:space="preserve">najczęściej </w:t>
            </w:r>
            <w:r>
              <w:rPr>
                <w:color w:val="auto"/>
              </w:rPr>
              <w:t>znajdują zatrudnienie.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5A21BB50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 w:rsidR="0047447E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8D5782B" w:rsidR="00C01834" w:rsidRPr="00C01834" w:rsidRDefault="0047447E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Ułatwienie decyzji o wyborze dalszej drogi zawodowej po skończeniu studiów farmaceutycznych oraz wskazanie kompetencji, które są potrzebne na poszczególnych stanowiskach.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332B5785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71988718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31BFDF94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3C0ADA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30345076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2006C2CC" w:rsidR="003C0ADA" w:rsidRPr="00C01834" w:rsidRDefault="003C0A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wymagania stawiane różnym postaciom leku oraz zasady doboru postaci leku w zależności od właściwości substancji leczniczej i przeznaczenia produktu leczniczego</w:t>
            </w:r>
            <w:r w:rsidR="00B64842">
              <w:t>;</w:t>
            </w:r>
          </w:p>
        </w:tc>
      </w:tr>
      <w:tr w:rsidR="003C0ADA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1FD5F0D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3210C0" w:rsidR="003C0ADA" w:rsidRPr="00C01834" w:rsidRDefault="003C0A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zasady Dobrej Praktyki Wytwarzania określonej w przepisach wydanych na podstawie art. 39 ust. 5 pkt 1 ustawy z dnia 6 września 2001 r. – Prawo farmaceutyczne (Dz. U. z </w:t>
            </w:r>
            <w:r w:rsidR="00B15A66">
              <w:t>2019 r.</w:t>
            </w:r>
            <w:r>
              <w:t xml:space="preserve"> poz. 499, z późn. zm.), w tym zasady dokumentowania procesów technologicznych</w:t>
            </w:r>
            <w:r w:rsidR="00B64842">
              <w:t>;</w:t>
            </w:r>
          </w:p>
        </w:tc>
      </w:tr>
      <w:tr w:rsidR="003C0ADA" w:rsidRPr="00C01834" w14:paraId="6FC95FC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1CFAA1" w14:textId="794E0AB3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C7A9C8" w14:textId="468D9012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metody badań jakości postaci leku oraz sposób analizy serii produkcyjnej</w:t>
            </w:r>
            <w:r w:rsidR="00B64842">
              <w:t>;</w:t>
            </w:r>
          </w:p>
        </w:tc>
      </w:tr>
      <w:tr w:rsidR="003C0ADA" w:rsidRPr="00C01834" w14:paraId="02C83DE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ADB3CCA" w14:textId="652C8DF0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B7D738" w14:textId="3FDCD26A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zakres badań chemiczno-farmaceutycznych wymaganych do dokumentacji rejestracyjnej produktu leczniczego</w:t>
            </w:r>
            <w:r w:rsidR="00B64842">
              <w:t>;</w:t>
            </w:r>
          </w:p>
        </w:tc>
      </w:tr>
      <w:tr w:rsidR="003C0ADA" w:rsidRPr="00C01834" w14:paraId="644CED2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DD6E1A" w14:textId="691EFF14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D5D4AE" w14:textId="1580F81D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zakres wykorzystania w produkcji farmaceutycznej analizy ryzyka, projektowania jakości i technologii opartej o analizę procesu</w:t>
            </w:r>
            <w:r w:rsidR="00B64842">
              <w:t>;</w:t>
            </w:r>
          </w:p>
        </w:tc>
      </w:tr>
      <w:tr w:rsidR="00682683" w:rsidRPr="00C01834" w14:paraId="51E836F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698205" w14:textId="0CF9E04F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ADDC46" w14:textId="0FBB2E94" w:rsidR="00682683" w:rsidRDefault="00682683" w:rsidP="00F42B3E">
            <w:pPr>
              <w:spacing w:after="0" w:line="259" w:lineRule="auto"/>
              <w:ind w:left="0" w:firstLine="0"/>
              <w:jc w:val="center"/>
            </w:pPr>
            <w:r>
              <w:t>podstawy prawne oraz organizację procesu wytwarzania produktów leczniczych</w:t>
            </w:r>
            <w:r w:rsidR="00B64842">
              <w:t>;</w:t>
            </w:r>
          </w:p>
        </w:tc>
      </w:tr>
      <w:tr w:rsidR="00682683" w:rsidRPr="00C01834" w14:paraId="1F2C223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4012B1" w14:textId="35941517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1A0485" w14:textId="1AF6A688" w:rsidR="00682683" w:rsidRDefault="00682683" w:rsidP="00F42B3E">
            <w:pPr>
              <w:spacing w:after="0" w:line="259" w:lineRule="auto"/>
              <w:ind w:left="0" w:firstLine="0"/>
              <w:jc w:val="center"/>
            </w:pPr>
            <w:r>
              <w:t>zasady wprowadzania do obrotu produktów leczniczych, wyrobów medycznych, suplementów diety, środków spożywczych specjalnego przeznaczenia żywieniowego oraz kosmetyków</w:t>
            </w:r>
            <w:r w:rsidR="00B64842">
              <w:t>;</w:t>
            </w:r>
          </w:p>
        </w:tc>
      </w:tr>
      <w:tr w:rsidR="00C90226" w:rsidRPr="00C01834" w14:paraId="1ACD20C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9F762" w14:textId="6E0AF634" w:rsidR="00C90226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90226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944FFA" w14:textId="035F5CD1" w:rsidR="00C90226" w:rsidRDefault="00C90226" w:rsidP="00F42B3E">
            <w:pPr>
              <w:spacing w:after="0" w:line="259" w:lineRule="auto"/>
              <w:ind w:left="0" w:firstLine="0"/>
              <w:jc w:val="center"/>
            </w:pPr>
            <w:r w:rsidRPr="00C90226">
              <w:t>rolę farmaceuty i przedstawicieli innych zawodów medycznych w zespole terapeutycznym</w:t>
            </w:r>
            <w:r w:rsidR="00B64842">
              <w:t>;</w:t>
            </w:r>
          </w:p>
        </w:tc>
      </w:tr>
      <w:tr w:rsidR="00682683" w:rsidRPr="00C01834" w14:paraId="54BD024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DD424E" w14:textId="00699878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454D8D" w14:textId="7C78743F" w:rsidR="00682683" w:rsidRDefault="00682683" w:rsidP="00F42B3E">
            <w:pPr>
              <w:spacing w:after="0" w:line="259" w:lineRule="auto"/>
              <w:ind w:left="0" w:firstLine="0"/>
              <w:jc w:val="center"/>
            </w:pPr>
            <w:r>
              <w:t>podstawy prawne oraz zasady przeprowadzania i organizacji badań nad lekiem, w tym badań eksperymentalnych oraz z udziałem ludzi</w:t>
            </w:r>
            <w:r w:rsidR="00B64842">
              <w:t>;</w:t>
            </w:r>
          </w:p>
        </w:tc>
      </w:tr>
      <w:tr w:rsidR="00682683" w:rsidRPr="00C01834" w14:paraId="386C077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734FB5" w14:textId="34E64173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C5C6E5" w14:textId="3410892D" w:rsidR="00682683" w:rsidRDefault="00682683" w:rsidP="00F42B3E">
            <w:pPr>
              <w:spacing w:after="0" w:line="259" w:lineRule="auto"/>
              <w:ind w:left="0" w:firstLine="0"/>
              <w:jc w:val="center"/>
            </w:pPr>
            <w:r>
              <w:t>prawne, etyczne i metodyczne aspekty prowadzenia badań klinicznych oraz rolę farmaceuty w ich prowadzeniu</w:t>
            </w:r>
            <w:r w:rsidR="00B64842">
              <w:t>;</w:t>
            </w:r>
          </w:p>
        </w:tc>
      </w:tr>
      <w:tr w:rsidR="00682683" w:rsidRPr="00C01834" w14:paraId="59CD990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AEA94F" w14:textId="184BF442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A21A0A" w14:textId="796B5996" w:rsidR="00682683" w:rsidRDefault="00682683" w:rsidP="00F42B3E">
            <w:pPr>
              <w:spacing w:after="0" w:line="259" w:lineRule="auto"/>
              <w:ind w:left="0" w:firstLine="0"/>
              <w:jc w:val="center"/>
            </w:pPr>
            <w:r>
              <w:t>zasady monitorowania bezpieczeństwa produktów leczniczych po wprowadzeniu ich do obrotu</w:t>
            </w:r>
            <w:r w:rsidR="00B64842">
              <w:t>;</w:t>
            </w:r>
          </w:p>
        </w:tc>
      </w:tr>
      <w:tr w:rsidR="003C0ADA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28F0FE51" w:rsidR="003C0ADA" w:rsidRPr="00C01834" w:rsidRDefault="003C0ADA" w:rsidP="003C0A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3C0ADA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EBA2ED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658D252" w:rsidR="003C0ADA" w:rsidRPr="00C01834" w:rsidRDefault="003C0A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korzystać z farmakopei, wytycznych oraz literatury dotyczącej oceny jakości substancji do użytku farmaceutycznego oraz produktu leczniczego</w:t>
            </w:r>
            <w:r w:rsidR="00B64842">
              <w:t>;</w:t>
            </w:r>
          </w:p>
        </w:tc>
      </w:tr>
      <w:tr w:rsidR="003C0ADA" w:rsidRPr="00C01834" w14:paraId="6D26957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4E26536" w14:textId="17A33503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517C9E" w14:textId="38894CF6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interpretować wyniki uzyskane w zakresie oceny jakości substancji do użytku farmaceutycznego i produktu leczniczego oraz potwierdzać zgodność uzyskanych wyników ze specyfikacją</w:t>
            </w:r>
            <w:r w:rsidR="00B64842">
              <w:t>;</w:t>
            </w:r>
          </w:p>
        </w:tc>
      </w:tr>
      <w:tr w:rsidR="003C0ADA" w:rsidRPr="00C01834" w14:paraId="7363F22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9D01B1E" w14:textId="6B357E31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AD38AC" w14:textId="065A438D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wykrywać na podstawie obserwacji produktu leczniczego jego wady kwalifikujące się do zgłoszenia do organu właściwego w sprawach nadzoru nad bezpieczeństwem stosowania produktów leczniczych</w:t>
            </w:r>
            <w:r w:rsidR="00B64842">
              <w:t>;</w:t>
            </w:r>
          </w:p>
        </w:tc>
      </w:tr>
      <w:tr w:rsidR="003C0ADA" w:rsidRPr="00C01834" w14:paraId="1E30EDC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3BA2BA" w14:textId="7E37104A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DEAA1C" w14:textId="4FDE24F4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wykonywać badania w zakresie oceny jakości postaci leku, obsługiwać odpowiednią aparaturę kontrolno-pomiarową oraz interpretować wyniki badań</w:t>
            </w:r>
            <w:r w:rsidR="00B64842">
              <w:t>;</w:t>
            </w:r>
          </w:p>
        </w:tc>
      </w:tr>
      <w:tr w:rsidR="003C0ADA" w:rsidRPr="00C01834" w14:paraId="52AEFBF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72819D2" w14:textId="2178D5B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lastRenderedPageBreak/>
              <w:t>C.U26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738481" w14:textId="183C8F57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oceniać ryzyko wystąpienia złej jakości produktu leczniczego i wyrobu medycznego oraz konsekwencji klinicznych</w:t>
            </w:r>
            <w:r w:rsidR="00B64842">
              <w:t>;</w:t>
            </w:r>
          </w:p>
        </w:tc>
      </w:tr>
      <w:tr w:rsidR="003C0ADA" w:rsidRPr="00C01834" w14:paraId="6F70396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B347E7" w14:textId="33AB26BE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DA5809" w14:textId="6653C941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proponować specyfikację dla produktu leczniczego oraz planować badania trwałości substancji leczniczej i produktu leczniczego</w:t>
            </w:r>
            <w:r w:rsidR="00B64842">
              <w:t>;</w:t>
            </w:r>
          </w:p>
        </w:tc>
      </w:tr>
      <w:tr w:rsidR="003C0ADA" w:rsidRPr="00C01834" w14:paraId="57F3F98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370D70" w14:textId="47FA2462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0B5CCE" w14:textId="375CBBD9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określać czynniki wpływające na trwałość produktu leczniczego i dobierać warunki przechowywania</w:t>
            </w:r>
            <w:r w:rsidR="00B64842">
              <w:t>;</w:t>
            </w:r>
          </w:p>
        </w:tc>
      </w:tr>
      <w:tr w:rsidR="003C0ADA" w:rsidRPr="00C01834" w14:paraId="578B35A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74912A9" w14:textId="6252A9E0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5D9E35" w14:textId="28D85824" w:rsidR="003C0ADA" w:rsidRDefault="003C0ADA" w:rsidP="00F42B3E">
            <w:pPr>
              <w:spacing w:after="0" w:line="259" w:lineRule="auto"/>
              <w:ind w:left="0" w:firstLine="0"/>
              <w:jc w:val="center"/>
            </w:pPr>
            <w:r>
              <w:t>wyszukiwać informacje naukowe dotyczące substancji i produktów leczniczych</w:t>
            </w:r>
            <w:r w:rsidR="00B64842">
              <w:t>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20C95E5D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4F7CF612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EEA5A9" w14:textId="77777777" w:rsidR="00D253ED" w:rsidRDefault="00F038E0" w:rsidP="00F42B3E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682683">
              <w:t>osiada poszerzoną wiedzę na temat współczesnych metod oceny jakościowej i ilościowej syntetycznych</w:t>
            </w:r>
          </w:p>
          <w:p w14:paraId="4DDA7FD1" w14:textId="63177BA0" w:rsidR="00C01834" w:rsidRPr="00C01834" w:rsidRDefault="00682683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 i pochodzenia naturalnego substancji leczniczych oraz gotowych postaci leku</w:t>
            </w:r>
            <w:r w:rsidR="00F038E0">
              <w:t>;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C806B2D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69F34EE9" w:rsidR="00C01834" w:rsidRPr="00C01834" w:rsidRDefault="00F038E0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</w:t>
            </w:r>
            <w:r w:rsidR="00682683">
              <w:t>a poszerzoną wiedzę z zakresu bezpieczeństwa i jakości leków oraz suplementów diety</w:t>
            </w:r>
            <w:r>
              <w:t>;</w:t>
            </w:r>
          </w:p>
        </w:tc>
      </w:tr>
      <w:tr w:rsidR="00682683" w:rsidRPr="00C01834" w14:paraId="464BD3E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A52484" w14:textId="228EFE2E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76A95B" w14:textId="36271DB5" w:rsidR="00682683" w:rsidRDefault="00F038E0" w:rsidP="00F42B3E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z zakresu badań przedklinicznych i klinicznych</w:t>
            </w:r>
            <w:r>
              <w:t>;</w:t>
            </w:r>
          </w:p>
        </w:tc>
      </w:tr>
      <w:tr w:rsidR="00682683" w:rsidRPr="00C01834" w14:paraId="168D002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8F5D8E" w14:textId="2BFC3F21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050490" w14:textId="15AB7329" w:rsidR="00682683" w:rsidRDefault="00F038E0" w:rsidP="00F42B3E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na temat problemów i zagadnień etycznych w farmacji, w tym farmacji klinicznej</w:t>
            </w:r>
            <w:r>
              <w:t>;</w:t>
            </w:r>
          </w:p>
        </w:tc>
      </w:tr>
      <w:tr w:rsidR="004E0AC6" w:rsidRPr="00C01834" w14:paraId="25CD4D7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7217E9" w14:textId="6E627580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0C1D51" w14:textId="6D6DAD87" w:rsidR="004E0AC6" w:rsidRDefault="00F038E0" w:rsidP="00F42B3E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>osiada pogłębioną wiedzę w zakresie przemysłowej technologii leków</w:t>
            </w:r>
            <w:r>
              <w:t>;</w:t>
            </w:r>
          </w:p>
        </w:tc>
      </w:tr>
      <w:tr w:rsidR="004E0AC6" w:rsidRPr="00C01834" w14:paraId="438CAA9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E7ECE0" w14:textId="355B8A06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6C3F2F" w14:textId="77777777" w:rsidR="00D253ED" w:rsidRDefault="00F038E0" w:rsidP="00F42B3E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 xml:space="preserve">osiada poszerzoną wiedzę w zakresie biotechnologii farmaceutycznej dotyczącej biosyntezy bioproduktów </w:t>
            </w:r>
          </w:p>
          <w:p w14:paraId="3C773081" w14:textId="5C55F386" w:rsidR="004E0AC6" w:rsidRDefault="004E0AC6" w:rsidP="00F42B3E">
            <w:pPr>
              <w:spacing w:after="0" w:line="259" w:lineRule="auto"/>
              <w:ind w:left="0" w:firstLine="0"/>
              <w:jc w:val="center"/>
            </w:pPr>
            <w:r>
              <w:t>z wykorzystaniem grzybów i drobnoustrojów</w:t>
            </w:r>
            <w:r w:rsidR="00F038E0">
              <w:t>;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52527D15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B6A4749" w:rsidR="00C01834" w:rsidRPr="00C01834" w:rsidRDefault="00F038E0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>otrafi opracować proces technologiczny obejmujący syntezy chemiczne substancji aktywnej, nadanie odpowiedniej postaci, zapewnienie w produkcji kontroli wytwarzania i właściwej jakości produktu leczniczego</w:t>
            </w:r>
            <w:r>
              <w:t>;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6AF0E98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73D7164" w:rsidR="00C01834" w:rsidRPr="00C01834" w:rsidRDefault="00F038E0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>otrafi wskazać metody i techniki do zaprojektowania procesu biotechnologicznego celem otrzymania biofarmaceutyków</w:t>
            </w:r>
            <w:r>
              <w:t>;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1A891AD5" w:rsidR="00C01834" w:rsidRPr="00C01834" w:rsidRDefault="00F038E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0226">
              <w:rPr>
                <w:color w:val="auto"/>
              </w:rPr>
              <w:t>(K.10)</w:t>
            </w:r>
            <w:r w:rsidRPr="00C90226">
              <w:rPr>
                <w:color w:val="auto"/>
              </w:rPr>
              <w:tab/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BD4703" w14:textId="77777777" w:rsidR="0089216B" w:rsidRDefault="00F038E0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90226" w:rsidRPr="00C90226">
              <w:rPr>
                <w:color w:val="auto"/>
              </w:rPr>
              <w:t xml:space="preserve">rzyjęcia odpowiedzialności związanej z decyzjami podejmowanymi w ramach działalności zawodowej, w tym </w:t>
            </w:r>
          </w:p>
          <w:p w14:paraId="37071A64" w14:textId="51025680" w:rsidR="00C01834" w:rsidRPr="00C01834" w:rsidRDefault="00C90226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0226">
              <w:rPr>
                <w:color w:val="auto"/>
              </w:rPr>
              <w:t>w kategoriach bezpieczeństwa własnego i innych osób</w:t>
            </w:r>
            <w:r w:rsidR="00F038E0">
              <w:rPr>
                <w:color w:val="auto"/>
              </w:rPr>
              <w:t>;</w:t>
            </w:r>
          </w:p>
        </w:tc>
      </w:tr>
      <w:tr w:rsidR="00C90226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3DD7F966" w:rsidR="00C90226" w:rsidRPr="00C01834" w:rsidRDefault="00F038E0" w:rsidP="00C90226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(K.7)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02C83E8F" w:rsidR="00C90226" w:rsidRPr="00C01834" w:rsidRDefault="00F038E0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C90226">
              <w:rPr>
                <w:color w:val="auto"/>
              </w:rPr>
              <w:t>zyskanie umiejętności korzystania z obiektywnych źródeł informacji</w:t>
            </w:r>
            <w:r>
              <w:rPr>
                <w:color w:val="auto"/>
              </w:rPr>
              <w:t>;</w:t>
            </w:r>
          </w:p>
        </w:tc>
      </w:tr>
    </w:tbl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0851DA" w:rsidRPr="00C01834" w14:paraId="1F8A43F4" w14:textId="63B63775" w:rsidTr="000851DA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3669ADE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152534" w14:textId="06F7F17C" w:rsidR="000851DA" w:rsidRPr="00F038E0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F038E0">
              <w:rPr>
                <w:color w:val="auto"/>
                <w:lang w:val="en-US"/>
              </w:rPr>
              <w:t>S1.</w:t>
            </w:r>
            <w:r w:rsidRPr="00F038E0">
              <w:rPr>
                <w:lang w:val="en-US"/>
              </w:rPr>
              <w:t xml:space="preserve"> </w:t>
            </w:r>
            <w:r w:rsidRPr="00F038E0">
              <w:rPr>
                <w:color w:val="auto"/>
                <w:lang w:val="en-US"/>
              </w:rPr>
              <w:t>Research and Development (Dzi</w:t>
            </w:r>
            <w:r>
              <w:rPr>
                <w:color w:val="auto"/>
                <w:lang w:val="en-US"/>
              </w:rPr>
              <w:t xml:space="preserve">ał Badań </w:t>
            </w:r>
            <w:r w:rsidR="00B15A66">
              <w:rPr>
                <w:color w:val="auto"/>
                <w:lang w:val="en-US"/>
              </w:rPr>
              <w:t>i</w:t>
            </w:r>
            <w:r>
              <w:rPr>
                <w:color w:val="auto"/>
                <w:lang w:val="en-US"/>
              </w:rPr>
              <w:t xml:space="preserve"> Rozwoju)</w:t>
            </w:r>
          </w:p>
          <w:p w14:paraId="1E158D4A" w14:textId="52FE6C0D" w:rsidR="000851DA" w:rsidRPr="00F038E0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a.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Badania podstawowe</w:t>
            </w:r>
            <w:r>
              <w:rPr>
                <w:color w:val="auto"/>
              </w:rPr>
              <w:t xml:space="preserve">: </w:t>
            </w:r>
            <w:r w:rsidRPr="002A1E8B">
              <w:rPr>
                <w:color w:val="auto"/>
              </w:rPr>
              <w:t>rodzaje projektów naukowych, finansowanie nauki, aktualn</w:t>
            </w:r>
            <w:r>
              <w:rPr>
                <w:color w:val="auto"/>
              </w:rPr>
              <w:t>i</w:t>
            </w:r>
            <w:r w:rsidRPr="002A1E8B">
              <w:rPr>
                <w:color w:val="auto"/>
              </w:rPr>
              <w:t>e</w:t>
            </w:r>
            <w:r>
              <w:rPr>
                <w:color w:val="auto"/>
              </w:rPr>
              <w:t xml:space="preserve"> realizowane</w:t>
            </w:r>
            <w:r w:rsidRPr="002A1E8B">
              <w:rPr>
                <w:color w:val="auto"/>
              </w:rPr>
              <w:t xml:space="preserve"> projekty badawcze, projekty i firmy spin-off.</w:t>
            </w:r>
            <w:r>
              <w:t xml:space="preserve"> </w:t>
            </w:r>
            <w:r w:rsidRPr="002A1E8B">
              <w:rPr>
                <w:color w:val="auto"/>
              </w:rPr>
              <w:t>Adiunkt badawczy, kierownik projektu naukowego</w:t>
            </w:r>
            <w:r>
              <w:rPr>
                <w:color w:val="auto"/>
              </w:rPr>
              <w:t>.</w:t>
            </w:r>
          </w:p>
          <w:p w14:paraId="2F08C6B6" w14:textId="019E528C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b.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Badania wdrożeniowe – rozwój produktu farmaceutycznego</w:t>
            </w:r>
          </w:p>
          <w:p w14:paraId="7EBBF560" w14:textId="5DFB74F8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 xml:space="preserve">Praca w dziale R&amp;D, podstawowe pojęcia, wymagane kwalifikacje, </w:t>
            </w:r>
            <w:r>
              <w:rPr>
                <w:color w:val="auto"/>
              </w:rPr>
              <w:t>zadania stawiane naukowcom pracującym w firmie farmaceutycznej</w:t>
            </w:r>
            <w:r w:rsidRPr="002A1E8B">
              <w:rPr>
                <w:color w:val="auto"/>
              </w:rPr>
              <w:t>.</w:t>
            </w:r>
          </w:p>
          <w:p w14:paraId="0485E40C" w14:textId="365990B0" w:rsidR="000851DA" w:rsidRPr="00C01834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lastRenderedPageBreak/>
              <w:t>ii.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Rozwój produktu, etapy : prace literaturowo-patentowe, preformulacja, prace laboratoryjne, skala pilotowa, wdrożenie produktu do przemysłu, badania stabilności „on-going”</w:t>
            </w:r>
          </w:p>
        </w:tc>
        <w:tc>
          <w:tcPr>
            <w:tcW w:w="2551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B55C91" w14:textId="24F6F869" w:rsidR="00F036FA" w:rsidRPr="00F036FA" w:rsidRDefault="00F036FA" w:rsidP="00F036FA">
            <w:pPr>
              <w:spacing w:after="0" w:line="259" w:lineRule="auto"/>
              <w:ind w:left="16" w:firstLine="0"/>
            </w:pPr>
            <w:r>
              <w:lastRenderedPageBreak/>
              <w:t xml:space="preserve">C.W26, C.W33, C.W34, C.W36, C.W37, E.W5, E.W18, </w:t>
            </w:r>
            <w:r w:rsidRPr="00C90226">
              <w:t>E.W14</w:t>
            </w:r>
            <w:r>
              <w:t xml:space="preserve">, E.W22, E.W23, E.W26, C.U4, C.U7, C.U8, C.U25, C.U26, C.U27, C.U28, C.U34, FBP_W1, FBP_W13, FBP_W14, FBP_W21, </w:t>
            </w:r>
            <w:r>
              <w:lastRenderedPageBreak/>
              <w:t>FBP_W34, FBP_W35, FBP_U24, FBP_U25</w:t>
            </w:r>
          </w:p>
          <w:p w14:paraId="607A63EF" w14:textId="77777777" w:rsidR="000851DA" w:rsidRPr="00C01834" w:rsidRDefault="000851DA" w:rsidP="000851DA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B8FA3CA" w14:textId="5258BF42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0101DC0" w14:textId="158B813F" w:rsidR="000851DA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S2.</w:t>
            </w:r>
            <w:r>
              <w:t xml:space="preserve"> </w:t>
            </w:r>
            <w:r w:rsidRPr="008604B1">
              <w:rPr>
                <w:color w:val="auto"/>
              </w:rPr>
              <w:t>Production</w:t>
            </w:r>
            <w:r>
              <w:rPr>
                <w:color w:val="auto"/>
              </w:rPr>
              <w:t xml:space="preserve"> (</w:t>
            </w:r>
            <w:r w:rsidRPr="008604B1">
              <w:rPr>
                <w:color w:val="auto"/>
              </w:rPr>
              <w:t>Dział Wytwarzania</w:t>
            </w:r>
            <w:r>
              <w:rPr>
                <w:color w:val="auto"/>
              </w:rPr>
              <w:t>)</w:t>
            </w:r>
          </w:p>
          <w:p w14:paraId="3AE73DB9" w14:textId="458D72AD" w:rsidR="000851DA" w:rsidRPr="008604B1" w:rsidRDefault="000851DA" w:rsidP="00F42B3E">
            <w:pPr>
              <w:spacing w:after="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a. L</w:t>
            </w:r>
            <w:r w:rsidRPr="008604B1">
              <w:rPr>
                <w:color w:val="auto"/>
              </w:rPr>
              <w:t>ek biotechnologiczny, zajęcia praktyczne w przemyśle</w:t>
            </w:r>
            <w:r>
              <w:rPr>
                <w:color w:val="auto"/>
              </w:rPr>
              <w:t>.</w:t>
            </w:r>
          </w:p>
          <w:p w14:paraId="21AFAD14" w14:textId="5E753628" w:rsidR="000851DA" w:rsidRPr="008604B1" w:rsidRDefault="000851DA" w:rsidP="00F42B3E">
            <w:pPr>
              <w:spacing w:after="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b. L</w:t>
            </w:r>
            <w:r w:rsidRPr="008604B1">
              <w:rPr>
                <w:color w:val="auto"/>
              </w:rPr>
              <w:t>ek syntetyczny, zajęcia praktyczne w przemyśle</w:t>
            </w:r>
            <w:r>
              <w:rPr>
                <w:color w:val="auto"/>
              </w:rPr>
              <w:t>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42FA312A" w14:textId="77777777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88D1A8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43F1BC4" w14:textId="3EC74CFB" w:rsidR="000851DA" w:rsidRPr="00820573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20573">
              <w:rPr>
                <w:color w:val="auto"/>
              </w:rPr>
              <w:t>S3. Production and Distribution (Dział Wytwarzania,</w:t>
            </w:r>
            <w:r>
              <w:rPr>
                <w:color w:val="auto"/>
              </w:rPr>
              <w:t xml:space="preserve"> </w:t>
            </w:r>
            <w:r w:rsidRPr="00820573">
              <w:rPr>
                <w:color w:val="auto"/>
              </w:rPr>
              <w:t>Dział Kontroli Jakości</w:t>
            </w:r>
            <w:r>
              <w:rPr>
                <w:color w:val="auto"/>
              </w:rPr>
              <w:t xml:space="preserve">, </w:t>
            </w:r>
            <w:r w:rsidRPr="00820573">
              <w:rPr>
                <w:color w:val="auto"/>
              </w:rPr>
              <w:t>Dział Zapewnienia Jakości</w:t>
            </w:r>
            <w:r>
              <w:rPr>
                <w:color w:val="auto"/>
              </w:rPr>
              <w:t>, Dział Logistyki)</w:t>
            </w:r>
          </w:p>
          <w:p w14:paraId="6C979CCD" w14:textId="59991BB0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2A1E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Zapewnienie i kontrola jakości (QA / QC), podstawowe pojęcia, certyfikaty analityczne, specyfikacje, zadania, kwalifikacja dostawców, laboratoria certyfikowane, kontrahenci, walidacja ciągła procesu wytwarzania.</w:t>
            </w:r>
          </w:p>
          <w:p w14:paraId="0F676461" w14:textId="31D16C46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b</w:t>
            </w:r>
            <w:r w:rsidRPr="002A1E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 xml:space="preserve">Quality Assurance. Wady jakościowe, wady opakowań, wady materiałów itd. </w:t>
            </w:r>
            <w:r w:rsidRPr="002A1E8B">
              <w:rPr>
                <w:color w:val="auto"/>
                <w:lang w:val="en-US"/>
              </w:rPr>
              <w:t>„Risk Management Plan” (RMP), “CAPA” Corrective and preventive action – działania naprawcze.</w:t>
            </w:r>
          </w:p>
          <w:p w14:paraId="0C82931D" w14:textId="4A3381BD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2A1E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Osoba wykwalifikowana (QP). Wytwarzanie produktu leczniczego, dokumentacja główna wytwórni, GMP.</w:t>
            </w:r>
          </w:p>
          <w:p w14:paraId="08528A05" w14:textId="50698622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2A1E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Audyt wewnętrzny i zewnętrzny w przemyśle farmaceutyczny.</w:t>
            </w:r>
          </w:p>
          <w:p w14:paraId="7EDFDE96" w14:textId="284DEC28" w:rsidR="000851DA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2A1E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GDP – dobra praktyka dystrybucji.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6B286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C79F36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3ADC18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B5E3EB" w14:textId="3368F7D1" w:rsidR="000851DA" w:rsidRDefault="000851DA" w:rsidP="00F42B3E">
            <w:pPr>
              <w:spacing w:after="0" w:line="259" w:lineRule="auto"/>
              <w:ind w:left="0" w:firstLine="0"/>
              <w:jc w:val="center"/>
            </w:pPr>
            <w:r>
              <w:rPr>
                <w:color w:val="auto"/>
              </w:rPr>
              <w:t>S4.</w:t>
            </w:r>
            <w:r>
              <w:t xml:space="preserve"> </w:t>
            </w:r>
            <w:r w:rsidRPr="003C3DED">
              <w:t>Regulatory Affairs</w:t>
            </w:r>
            <w:r>
              <w:t xml:space="preserve"> (Dział Rejestracji Leków)</w:t>
            </w:r>
          </w:p>
          <w:p w14:paraId="59082C7D" w14:textId="3EFF99C3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Ś</w:t>
            </w:r>
            <w:r w:rsidRPr="002A1E8B">
              <w:rPr>
                <w:color w:val="auto"/>
              </w:rPr>
              <w:t>cieżka kariery, struktura działu</w:t>
            </w:r>
            <w:r>
              <w:rPr>
                <w:color w:val="auto"/>
              </w:rPr>
              <w:t xml:space="preserve"> rejestracji leków w firmach farmaceutycznych</w:t>
            </w:r>
            <w:r w:rsidRPr="002A1E8B">
              <w:rPr>
                <w:color w:val="auto"/>
              </w:rPr>
              <w:t>. Dokumentacja rejestracyjna produktu leczniczego. Omówienie modułów 1-5,</w:t>
            </w:r>
          </w:p>
          <w:p w14:paraId="299FA99A" w14:textId="66D8C2BC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i.</w:t>
            </w:r>
            <w:r>
              <w:rPr>
                <w:color w:val="auto"/>
              </w:rPr>
              <w:t xml:space="preserve"> p</w:t>
            </w:r>
            <w:r w:rsidRPr="002A1E8B">
              <w:rPr>
                <w:color w:val="auto"/>
              </w:rPr>
              <w:t>rocedury rejestracyjne w Europie i na świecie</w:t>
            </w:r>
            <w:r>
              <w:rPr>
                <w:color w:val="auto"/>
              </w:rPr>
              <w:t>;</w:t>
            </w:r>
          </w:p>
          <w:p w14:paraId="6D3A4BE3" w14:textId="1A29F822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ii.</w:t>
            </w:r>
            <w:r>
              <w:rPr>
                <w:color w:val="auto"/>
              </w:rPr>
              <w:t xml:space="preserve"> d</w:t>
            </w:r>
            <w:r w:rsidRPr="002A1E8B">
              <w:rPr>
                <w:color w:val="auto"/>
              </w:rPr>
              <w:t>okumentacja rejestracyjny i rerejestracyjna</w:t>
            </w:r>
            <w:r>
              <w:rPr>
                <w:color w:val="auto"/>
              </w:rPr>
              <w:t>;</w:t>
            </w:r>
          </w:p>
          <w:p w14:paraId="707E4696" w14:textId="795A32B2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iii.</w:t>
            </w:r>
            <w:r>
              <w:rPr>
                <w:color w:val="auto"/>
              </w:rPr>
              <w:t xml:space="preserve"> z</w:t>
            </w:r>
            <w:r w:rsidRPr="002A1E8B">
              <w:rPr>
                <w:color w:val="auto"/>
              </w:rPr>
              <w:t>miany porejestracyjne, zmiany „quality” i zmiany „safety”</w:t>
            </w:r>
            <w:r>
              <w:rPr>
                <w:color w:val="auto"/>
              </w:rPr>
              <w:t>;</w:t>
            </w:r>
          </w:p>
          <w:p w14:paraId="3766E3E6" w14:textId="59179C96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iv.</w:t>
            </w:r>
            <w:r>
              <w:rPr>
                <w:color w:val="auto"/>
              </w:rPr>
              <w:t xml:space="preserve"> p</w:t>
            </w:r>
            <w:r w:rsidRPr="002A1E8B">
              <w:rPr>
                <w:color w:val="auto"/>
              </w:rPr>
              <w:t>rzegląd regulacyjny stron agencyjnych EMA, URPL</w:t>
            </w:r>
            <w:r>
              <w:rPr>
                <w:color w:val="auto"/>
              </w:rPr>
              <w:t>;</w:t>
            </w:r>
          </w:p>
          <w:p w14:paraId="0141CEB1" w14:textId="5BF40724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v.</w:t>
            </w:r>
            <w:r>
              <w:rPr>
                <w:color w:val="auto"/>
              </w:rPr>
              <w:t xml:space="preserve"> k</w:t>
            </w:r>
            <w:r w:rsidRPr="002A1E8B">
              <w:rPr>
                <w:color w:val="auto"/>
              </w:rPr>
              <w:t>ontrola seryjna wstępna (KSW) produktu</w:t>
            </w:r>
            <w:r>
              <w:rPr>
                <w:color w:val="auto"/>
              </w:rPr>
              <w:t>;</w:t>
            </w:r>
          </w:p>
          <w:p w14:paraId="54A31180" w14:textId="4ED897D8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vi.</w:t>
            </w:r>
            <w:r>
              <w:rPr>
                <w:color w:val="auto"/>
              </w:rPr>
              <w:t xml:space="preserve"> d</w:t>
            </w:r>
            <w:r w:rsidRPr="002A1E8B">
              <w:rPr>
                <w:color w:val="auto"/>
              </w:rPr>
              <w:t>ruk materiałów informacyjnych – ulotka przylekowa artwork „ChPL” lub „SmPC”, materiały informacyjne dla pacjentów (lek o wąskim przedziale terapeutycznym)</w:t>
            </w:r>
            <w:r>
              <w:rPr>
                <w:color w:val="auto"/>
              </w:rPr>
              <w:t>;</w:t>
            </w:r>
          </w:p>
          <w:p w14:paraId="5F279FA1" w14:textId="6F5C679B" w:rsidR="000851DA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vii.</w:t>
            </w:r>
            <w:r>
              <w:rPr>
                <w:color w:val="auto"/>
              </w:rPr>
              <w:t xml:space="preserve"> w</w:t>
            </w:r>
            <w:r w:rsidRPr="002A1E8B">
              <w:rPr>
                <w:color w:val="auto"/>
              </w:rPr>
              <w:t>strzymywanie i wycofywanie produktów z rynku.</w:t>
            </w:r>
          </w:p>
          <w:p w14:paraId="571A86B8" w14:textId="0DC30EA9" w:rsidR="000851DA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AF2061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257FB01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A473CD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6A23E82" w14:textId="3310F414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S5.</w:t>
            </w:r>
            <w:r>
              <w:t xml:space="preserve"> </w:t>
            </w:r>
            <w:r w:rsidRPr="002A1E8B">
              <w:rPr>
                <w:color w:val="auto"/>
              </w:rPr>
              <w:t>Pharmacovigilance</w:t>
            </w:r>
            <w:r>
              <w:rPr>
                <w:color w:val="auto"/>
              </w:rPr>
              <w:t xml:space="preserve"> (Dział N</w:t>
            </w:r>
            <w:r w:rsidRPr="008C6198">
              <w:rPr>
                <w:color w:val="auto"/>
              </w:rPr>
              <w:t>adz</w:t>
            </w:r>
            <w:r>
              <w:rPr>
                <w:color w:val="auto"/>
              </w:rPr>
              <w:t>oru</w:t>
            </w:r>
            <w:r w:rsidRPr="008C6198">
              <w:rPr>
                <w:color w:val="auto"/>
              </w:rPr>
              <w:t xml:space="preserve"> nad </w:t>
            </w:r>
            <w:r>
              <w:rPr>
                <w:color w:val="auto"/>
              </w:rPr>
              <w:t>B</w:t>
            </w:r>
            <w:r w:rsidRPr="008C6198">
              <w:rPr>
                <w:color w:val="auto"/>
              </w:rPr>
              <w:t xml:space="preserve">ezpieczeństwem </w:t>
            </w:r>
            <w:r>
              <w:rPr>
                <w:color w:val="auto"/>
              </w:rPr>
              <w:t>F</w:t>
            </w:r>
            <w:r w:rsidRPr="008C6198">
              <w:rPr>
                <w:color w:val="auto"/>
              </w:rPr>
              <w:t>armakoterapii</w:t>
            </w:r>
            <w:r>
              <w:rPr>
                <w:color w:val="auto"/>
              </w:rPr>
              <w:t>)</w:t>
            </w:r>
          </w:p>
          <w:p w14:paraId="7944E4BA" w14:textId="32599A54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 xml:space="preserve">Regulacje i podstawy prawne </w:t>
            </w:r>
            <w:r>
              <w:rPr>
                <w:color w:val="auto"/>
              </w:rPr>
              <w:t>p</w:t>
            </w:r>
            <w:r w:rsidRPr="002A1E8B">
              <w:rPr>
                <w:color w:val="auto"/>
              </w:rPr>
              <w:t>harmacovigilance. Informacje podstawowe, ścieżka kariery – struktura działu.</w:t>
            </w:r>
          </w:p>
          <w:p w14:paraId="6307BC2A" w14:textId="388BA04A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ii.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 xml:space="preserve">PSMF (pharmacovigilance system master file) – dokument główny regulujący i towarzysząca </w:t>
            </w:r>
            <w:r>
              <w:rPr>
                <w:color w:val="auto"/>
              </w:rPr>
              <w:t>mu</w:t>
            </w:r>
            <w:r w:rsidRPr="002A1E8B">
              <w:rPr>
                <w:color w:val="auto"/>
              </w:rPr>
              <w:t xml:space="preserve"> dokumentacja SOP (Standard Operating Procedures)</w:t>
            </w:r>
            <w:r>
              <w:rPr>
                <w:color w:val="auto"/>
              </w:rPr>
              <w:t>.</w:t>
            </w:r>
          </w:p>
          <w:p w14:paraId="3ACA7631" w14:textId="5F90F8F8" w:rsidR="000851DA" w:rsidRPr="002A1E8B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iii.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Zadania Pharmacovigilance, zbieranie i przetwarzanie informacji o ADR – bazy EudraVigilance, monitorowanie literatury, detekcja sygnałów, PSUR (periodic safety update report), RMP (Risk Management Plan)</w:t>
            </w:r>
            <w:r>
              <w:rPr>
                <w:color w:val="auto"/>
              </w:rPr>
              <w:t>.</w:t>
            </w:r>
          </w:p>
          <w:p w14:paraId="77FB2F46" w14:textId="3F0EFC15" w:rsidR="000851DA" w:rsidRDefault="000851DA" w:rsidP="00F42B3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A1E8B">
              <w:rPr>
                <w:color w:val="auto"/>
              </w:rPr>
              <w:t>iv.</w:t>
            </w:r>
            <w:r>
              <w:rPr>
                <w:color w:val="auto"/>
              </w:rPr>
              <w:t xml:space="preserve"> </w:t>
            </w:r>
            <w:r w:rsidRPr="002A1E8B">
              <w:rPr>
                <w:color w:val="auto"/>
              </w:rPr>
              <w:t>Umowy SDEA – o wymianie informacji na temat działań niepożądanych. Szkolenia pracowników w zakresie ogólnym i produktowym.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518C48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9621934" w14:textId="77777777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  <w:lang w:val="en-US"/>
              </w:rPr>
            </w:pPr>
            <w:r w:rsidRPr="00530C67">
              <w:rPr>
                <w:color w:val="auto"/>
                <w:lang w:val="en-US"/>
              </w:rPr>
              <w:t>Levin M.: Pharmaceutical Process Scale-Up. Third Edition Drugs and the Pharmaceutical Science. Taylor &amp; Francis, 2011</w:t>
            </w:r>
          </w:p>
          <w:p w14:paraId="036DBDEE" w14:textId="084418DA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E41E17">
              <w:rPr>
                <w:szCs w:val="18"/>
              </w:rPr>
              <w:t>Materiały pomocnicze umieszczone na stronie internetowej Katedry 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  <w:r>
              <w:rPr>
                <w:color w:val="auto"/>
              </w:rPr>
              <w:t>.</w:t>
            </w:r>
          </w:p>
          <w:p w14:paraId="1184F74E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Strony internetowe:</w:t>
            </w:r>
          </w:p>
          <w:p w14:paraId="3510391D" w14:textId="77777777" w:rsidR="00B70554" w:rsidRPr="009A3274" w:rsidRDefault="00B70554" w:rsidP="00B70554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Urzędu Rejestracji Produktów Leczniczych, Wyrobów Medycznych i Produktów Biobójczych - http://urpl.gov.pl/pl</w:t>
            </w:r>
          </w:p>
          <w:p w14:paraId="4A6BD5D7" w14:textId="77777777" w:rsidR="00B70554" w:rsidRPr="009A3274" w:rsidRDefault="00B70554" w:rsidP="00B70554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lastRenderedPageBreak/>
              <w:t>Głównego Inspektoratu Farmaceutycznego - https://www.gif.gov.pl</w:t>
            </w:r>
          </w:p>
          <w:p w14:paraId="3B1159C2" w14:textId="77777777" w:rsidR="00B70554" w:rsidRPr="009A3274" w:rsidRDefault="00B70554" w:rsidP="00B705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2001/83/WE Parlamentu Europejskiego i Rady z dnia 6 listopada 2001 r. w sprawie wspólnotowego kodeksu odnoszącego się do produktów leczniczych stosowanych u ludzi.</w:t>
            </w:r>
          </w:p>
          <w:p w14:paraId="23AD357B" w14:textId="77777777" w:rsidR="00B70554" w:rsidRPr="009A3274" w:rsidRDefault="00B70554" w:rsidP="00B705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Parlamentu Europejskiego I Rady 2011/62/UE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      </w:r>
          </w:p>
          <w:p w14:paraId="46E96688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(WE) Nr 726/2004 Parlamentu Europejskiego I Rady z dnia 31 marca 2004 r. ustanawiające wspólnotowe procedury wydawania pozwoleń dla produktów leczniczych stosowanych u ludzi i do celów weterynaryjnych i nadzoru nad nimi oraz ustanawiające Europejską Agencję Leków </w:t>
            </w:r>
          </w:p>
          <w:p w14:paraId="030F47C0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Ustawa z dnia 6 września 2001 r. - Prawo farmaceutyczne, (Dz.U. z 2021 r. poz. 97 z późn.zm.)</w:t>
            </w:r>
          </w:p>
          <w:p w14:paraId="6875FD58" w14:textId="2CACDF76" w:rsidR="00B70554" w:rsidRPr="00B7055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Rozporządzenia Ministerstwa Zdrowia do ustawy – Prawo farmaceutyczne (wybrane akty prawne)</w:t>
            </w:r>
          </w:p>
          <w:p w14:paraId="10528821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8E926F" w14:textId="77777777" w:rsidR="00F036FA" w:rsidRPr="00F036FA" w:rsidRDefault="00F036FA" w:rsidP="007C3896">
            <w:pPr>
              <w:spacing w:after="0" w:line="259" w:lineRule="auto"/>
              <w:ind w:left="16" w:firstLine="0"/>
              <w:jc w:val="center"/>
            </w:pPr>
            <w:r>
              <w:t xml:space="preserve">C.W26, C.W33, C.W34, C.W36, C.W37, E.W5, E.W18, </w:t>
            </w:r>
            <w:r w:rsidRPr="00C90226">
              <w:t>E.W14</w:t>
            </w:r>
            <w:r>
              <w:t>, E.W22, E.W23, E.W26, C.U4, C.U7, C.U8, C.U25, C.U26, C.U27, C.U28, C.U34, FBP_W1, FBP_W13, FBP_W14, FBP_W21, FBP_W34, FBP_W35, FBP_U24, FBP_U25</w:t>
            </w:r>
          </w:p>
          <w:p w14:paraId="31301D38" w14:textId="107DED63" w:rsidR="00A3096F" w:rsidRPr="00AD2F54" w:rsidRDefault="00A3096F" w:rsidP="007C3896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63AE6621" w:rsidR="00A3096F" w:rsidRPr="00AD2F54" w:rsidRDefault="000D6FFA" w:rsidP="007C3896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Zaliczenie testowe z możliwością pytań otwartych.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4411D3" w14:textId="77777777" w:rsidR="000D6FFA" w:rsidRDefault="000D6FFA" w:rsidP="007C38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0C33C0E3" w14:textId="7BB2A1B8" w:rsidR="00A3096F" w:rsidRPr="00AD2F54" w:rsidRDefault="00A3096F" w:rsidP="007C3896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835CF7A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FAFF48" w14:textId="77777777" w:rsidR="00BD7813" w:rsidRDefault="00BD7813" w:rsidP="00BD7813">
            <w:pPr>
              <w:rPr>
                <w:b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</w:p>
          <w:p w14:paraId="139548CF" w14:textId="77777777" w:rsidR="000204B8" w:rsidRPr="00F47E48" w:rsidRDefault="000204B8" w:rsidP="000204B8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Pr="00D5560A">
              <w:rPr>
                <w:rFonts w:cs="Arial"/>
                <w:szCs w:val="18"/>
              </w:rPr>
              <w:t xml:space="preserve">przez opiekuna bloku </w:t>
            </w:r>
            <w:r w:rsidRPr="00D05521">
              <w:rPr>
                <w:rFonts w:cs="Arial"/>
                <w:szCs w:val="18"/>
              </w:rPr>
              <w:t>prof. dr hab. Jadwigę Turło</w:t>
            </w:r>
            <w:r w:rsidRPr="00D5560A">
              <w:rPr>
                <w:rFonts w:cs="Arial"/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11" w:history="1">
              <w:r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6116DC41" w14:textId="77777777" w:rsidR="000204B8" w:rsidRPr="00D5560A" w:rsidRDefault="000204B8" w:rsidP="000204B8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12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450C8626" w14:textId="77777777" w:rsidR="000204B8" w:rsidRDefault="000204B8" w:rsidP="000204B8">
            <w:r w:rsidRPr="00D05521">
              <w:t>Osoba odpowiedzialna za organizację dydaktyki: dr Martyna Wróbel</w:t>
            </w:r>
            <w:r>
              <w:rPr>
                <w:b/>
              </w:rPr>
              <w:t xml:space="preserve"> </w:t>
            </w:r>
            <w:r w:rsidRPr="00D5560A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>
              <w:t xml:space="preserve">, </w:t>
            </w:r>
          </w:p>
          <w:p w14:paraId="0C834629" w14:textId="77777777" w:rsidR="000204B8" w:rsidRPr="00331566" w:rsidRDefault="000204B8" w:rsidP="000204B8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13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23274B05" w14:textId="1EBE4953" w:rsidR="000204B8" w:rsidRDefault="000204B8" w:rsidP="000204B8">
            <w:r>
              <w:t xml:space="preserve">Miejsce seminariów: sale wykładowe Wydziału Farmaceutycznego, </w:t>
            </w:r>
          </w:p>
          <w:p w14:paraId="2E9B09C5" w14:textId="77777777" w:rsidR="00BD7813" w:rsidRDefault="000204B8" w:rsidP="000204B8">
            <w:r>
              <w:t xml:space="preserve">Miejsce seminariów </w:t>
            </w:r>
            <w:r w:rsidR="00BD7813">
              <w:t>z l</w:t>
            </w:r>
            <w:r>
              <w:t>ek</w:t>
            </w:r>
            <w:r w:rsidR="00BD7813">
              <w:t>u</w:t>
            </w:r>
            <w:r>
              <w:t xml:space="preserve"> syntetyczn</w:t>
            </w:r>
            <w:r w:rsidR="00BD7813">
              <w:t>ego</w:t>
            </w:r>
            <w:r>
              <w:t xml:space="preserve"> i </w:t>
            </w:r>
            <w:r w:rsidR="00BD7813">
              <w:t xml:space="preserve">leku </w:t>
            </w:r>
            <w:r>
              <w:t>biotechnologiczn</w:t>
            </w:r>
            <w:r w:rsidR="00BD7813">
              <w:t>ego, zajęcia praktyczne w przemyśle</w:t>
            </w:r>
            <w:r>
              <w:t xml:space="preserve"> (10h): Grand Medical Poland Sp. z o.o., Bioton S.A. </w:t>
            </w:r>
          </w:p>
          <w:p w14:paraId="3575B42B" w14:textId="16C84D1C" w:rsidR="000204B8" w:rsidRDefault="000204B8" w:rsidP="000204B8">
            <w:r>
              <w:t xml:space="preserve">Wejście </w:t>
            </w:r>
            <w:r w:rsidR="00BD7813">
              <w:t xml:space="preserve">studenta </w:t>
            </w:r>
            <w:r>
              <w:t>na teren firm farmaceutycznych będzie możliwe po</w:t>
            </w:r>
            <w:r w:rsidR="00BD7813">
              <w:t xml:space="preserve"> złożeniu</w:t>
            </w:r>
            <w:r>
              <w:t xml:space="preserve"> deklaracji </w:t>
            </w:r>
            <w:r w:rsidR="00BD7813">
              <w:t xml:space="preserve">dotyczącej </w:t>
            </w:r>
            <w:r>
              <w:t>przestrzegania zasad obowiązujących</w:t>
            </w:r>
            <w:r w:rsidR="00BD7813">
              <w:t xml:space="preserve"> </w:t>
            </w:r>
            <w:r>
              <w:t>na terenie zakładu farmaceutycznego</w:t>
            </w:r>
            <w:r w:rsidR="00BD7813">
              <w:t xml:space="preserve">, </w:t>
            </w:r>
            <w:r>
              <w:t>pod opieką wykładowcy WUM oraz osób zatrudnionych w danej firmie. Nieprzestrzeganie regulaminu firm</w:t>
            </w:r>
            <w:r w:rsidR="00BD7813">
              <w:t xml:space="preserve"> </w:t>
            </w:r>
            <w:r>
              <w:t>Grand Medical Poland Sp. z o.o. i Bioton S.A. będzie jednoznaczne z usunięciem z zajęć.</w:t>
            </w:r>
          </w:p>
          <w:p w14:paraId="730F6EE3" w14:textId="77777777" w:rsidR="00014630" w:rsidRDefault="000204B8" w:rsidP="000204B8">
            <w:pPr>
              <w:spacing w:after="0" w:line="259" w:lineRule="auto"/>
              <w:ind w:left="0" w:right="235" w:firstLine="0"/>
            </w:pPr>
            <w:r>
              <w:t>Seminaria prowadzone są w formie stacjonarnej</w:t>
            </w:r>
            <w:r w:rsidR="00BD7813">
              <w:t xml:space="preserve">. </w:t>
            </w:r>
          </w:p>
          <w:p w14:paraId="756F027B" w14:textId="16EF0914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Przedmiot realizowany jest zaliczany na ocenę w formie zaliczenia testowego z możliwością obecności pytań otwartych. Dopuszcza się dwa terminy zaliczenia: pierwszy dla wszystkich studentów i drugi termin (poprawkowy) dla osób, które nie zaliczyły w terminie pierwszym. Ponadto zostanie wyznaczony dodatkowy termin zaliczenia dla osób z usprawiedliwioną nieobecnością na terminie pierwszym. </w:t>
            </w:r>
            <w:r>
              <w:t xml:space="preserve">O przyczynie nieprzystąpienia do zaliczenia student powiadamia koordynatora bloku najpóźniej w ciągu trzech dni roboczych po terminie </w:t>
            </w:r>
            <w:r>
              <w:lastRenderedPageBreak/>
              <w:t>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3EBF1CBF" w14:textId="77777777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Studiów, student w przypadku uzyskania oceny niedostatecznej w pierwszym i drugim terminie </w:t>
            </w:r>
          </w:p>
          <w:p w14:paraId="44BEB32A" w14:textId="18FC585B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 przedmiotu kończącego się zaliczeniem ma prawo wystąpić do Dziekana </w:t>
            </w:r>
            <w:r w:rsidR="00A31674">
              <w:rPr>
                <w:lang w:eastAsia="en-US"/>
              </w:rPr>
              <w:t xml:space="preserve">w ciągu 7 dni od daty zaliczenia </w:t>
            </w:r>
            <w:r>
              <w:rPr>
                <w:lang w:eastAsia="en-US"/>
              </w:rPr>
              <w:t>o zgodę na przystąpienie do zaliczenia komisyjnego.</w:t>
            </w:r>
          </w:p>
          <w:p w14:paraId="677E6E8D" w14:textId="62EC1BB0" w:rsidR="00BD7813" w:rsidRPr="00C01834" w:rsidRDefault="00BD7813" w:rsidP="000204B8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14:paraId="6D91E03B" w14:textId="77777777" w:rsidR="00CB6AD4" w:rsidRDefault="00CB6AD4" w:rsidP="00CB6AD4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54323F" wp14:editId="09184347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00372999" name="Pole tekstowe 20037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C450" w14:textId="77777777" w:rsidR="00CB6AD4" w:rsidRPr="008E78CF" w:rsidRDefault="00CB6AD4" w:rsidP="00CB6A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24F413D2" w14:textId="77777777" w:rsidR="00CB6AD4" w:rsidRDefault="00CB6AD4" w:rsidP="00CB6AD4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4323F" id="Pole tekstowe 200372999" o:spid="_x0000_s1027" type="#_x0000_t202" style="position:absolute;margin-left:-7.25pt;margin-top:637.1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5EACC450" w14:textId="77777777" w:rsidR="00CB6AD4" w:rsidRPr="008E78CF" w:rsidRDefault="00CB6AD4" w:rsidP="00CB6A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24F413D2" w14:textId="77777777" w:rsidR="00CB6AD4" w:rsidRDefault="00CB6AD4" w:rsidP="00CB6AD4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3F57500C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footerReference w:type="even" r:id="rId14"/>
      <w:footerReference w:type="default" r:id="rId15"/>
      <w:footerReference w:type="first" r:id="rId16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F550" w14:textId="77777777" w:rsidR="006B3612" w:rsidRDefault="006B3612">
      <w:pPr>
        <w:spacing w:after="0" w:line="240" w:lineRule="auto"/>
      </w:pPr>
      <w:r>
        <w:separator/>
      </w:r>
    </w:p>
  </w:endnote>
  <w:endnote w:type="continuationSeparator" w:id="0">
    <w:p w14:paraId="7DDB8DB1" w14:textId="77777777" w:rsidR="006B3612" w:rsidRDefault="006B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1C16" w14:textId="77777777" w:rsidR="006B3612" w:rsidRDefault="006B3612">
      <w:pPr>
        <w:spacing w:after="0" w:line="240" w:lineRule="auto"/>
      </w:pPr>
      <w:r>
        <w:separator/>
      </w:r>
    </w:p>
  </w:footnote>
  <w:footnote w:type="continuationSeparator" w:id="0">
    <w:p w14:paraId="3F3C0071" w14:textId="77777777" w:rsidR="006B3612" w:rsidRDefault="006B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0B"/>
    <w:multiLevelType w:val="hybridMultilevel"/>
    <w:tmpl w:val="B6F6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000CE"/>
    <w:multiLevelType w:val="hybridMultilevel"/>
    <w:tmpl w:val="0BF0702A"/>
    <w:lvl w:ilvl="0" w:tplc="1A80ED8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90A3B"/>
    <w:multiLevelType w:val="hybridMultilevel"/>
    <w:tmpl w:val="B6F69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37DD"/>
    <w:multiLevelType w:val="hybridMultilevel"/>
    <w:tmpl w:val="0A9692BA"/>
    <w:lvl w:ilvl="0" w:tplc="C90A35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5"/>
  </w:num>
  <w:num w:numId="2" w16cid:durableId="2050952466">
    <w:abstractNumId w:val="4"/>
  </w:num>
  <w:num w:numId="3" w16cid:durableId="1419667679">
    <w:abstractNumId w:val="2"/>
  </w:num>
  <w:num w:numId="4" w16cid:durableId="1675377709">
    <w:abstractNumId w:val="0"/>
  </w:num>
  <w:num w:numId="5" w16cid:durableId="758871864">
    <w:abstractNumId w:val="7"/>
  </w:num>
  <w:num w:numId="6" w16cid:durableId="972176015">
    <w:abstractNumId w:val="6"/>
  </w:num>
  <w:num w:numId="7" w16cid:durableId="339087387">
    <w:abstractNumId w:val="3"/>
  </w:num>
  <w:num w:numId="8" w16cid:durableId="37100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zEyNzE0MDY1sjBW0lEKTi0uzszPAykwqQUAp2f0YywAAAA="/>
  </w:docVars>
  <w:rsids>
    <w:rsidRoot w:val="006C524C"/>
    <w:rsid w:val="00014630"/>
    <w:rsid w:val="000204B8"/>
    <w:rsid w:val="00042B01"/>
    <w:rsid w:val="000851DA"/>
    <w:rsid w:val="000A61A5"/>
    <w:rsid w:val="000C639F"/>
    <w:rsid w:val="000D6FFA"/>
    <w:rsid w:val="000E7357"/>
    <w:rsid w:val="001011F1"/>
    <w:rsid w:val="00133592"/>
    <w:rsid w:val="00141A71"/>
    <w:rsid w:val="00160769"/>
    <w:rsid w:val="00165C84"/>
    <w:rsid w:val="00181CEC"/>
    <w:rsid w:val="001B028B"/>
    <w:rsid w:val="001C78B8"/>
    <w:rsid w:val="001D2609"/>
    <w:rsid w:val="001E63CB"/>
    <w:rsid w:val="001F028B"/>
    <w:rsid w:val="002066C4"/>
    <w:rsid w:val="00231343"/>
    <w:rsid w:val="002453B1"/>
    <w:rsid w:val="0027721A"/>
    <w:rsid w:val="002A1E8B"/>
    <w:rsid w:val="002C4195"/>
    <w:rsid w:val="002F39FE"/>
    <w:rsid w:val="002F3B26"/>
    <w:rsid w:val="00335870"/>
    <w:rsid w:val="0035040A"/>
    <w:rsid w:val="00366F44"/>
    <w:rsid w:val="00384C54"/>
    <w:rsid w:val="003A2874"/>
    <w:rsid w:val="003A71EB"/>
    <w:rsid w:val="003C0ADA"/>
    <w:rsid w:val="003C3DED"/>
    <w:rsid w:val="003F16B9"/>
    <w:rsid w:val="003F4B3A"/>
    <w:rsid w:val="00417C37"/>
    <w:rsid w:val="00422398"/>
    <w:rsid w:val="00427F40"/>
    <w:rsid w:val="004448F5"/>
    <w:rsid w:val="00463184"/>
    <w:rsid w:val="00470E8F"/>
    <w:rsid w:val="0047447E"/>
    <w:rsid w:val="00476558"/>
    <w:rsid w:val="00477321"/>
    <w:rsid w:val="004E0AC6"/>
    <w:rsid w:val="005524DE"/>
    <w:rsid w:val="005944D4"/>
    <w:rsid w:val="005A0E34"/>
    <w:rsid w:val="0064087A"/>
    <w:rsid w:val="00674220"/>
    <w:rsid w:val="00682683"/>
    <w:rsid w:val="006A442B"/>
    <w:rsid w:val="006B012B"/>
    <w:rsid w:val="006B3612"/>
    <w:rsid w:val="006C524C"/>
    <w:rsid w:val="006D018B"/>
    <w:rsid w:val="006F1D47"/>
    <w:rsid w:val="00724BB4"/>
    <w:rsid w:val="00724F33"/>
    <w:rsid w:val="00732CF5"/>
    <w:rsid w:val="00792FD5"/>
    <w:rsid w:val="007C10F0"/>
    <w:rsid w:val="007C3896"/>
    <w:rsid w:val="007F432C"/>
    <w:rsid w:val="00820573"/>
    <w:rsid w:val="008604B1"/>
    <w:rsid w:val="00861D21"/>
    <w:rsid w:val="0089216B"/>
    <w:rsid w:val="008A2F0E"/>
    <w:rsid w:val="008C6198"/>
    <w:rsid w:val="008E592D"/>
    <w:rsid w:val="00900EC6"/>
    <w:rsid w:val="00901188"/>
    <w:rsid w:val="00903250"/>
    <w:rsid w:val="009807DC"/>
    <w:rsid w:val="009B62DF"/>
    <w:rsid w:val="009E635F"/>
    <w:rsid w:val="009F6016"/>
    <w:rsid w:val="00A3096F"/>
    <w:rsid w:val="00A31674"/>
    <w:rsid w:val="00A42ACC"/>
    <w:rsid w:val="00A63CE6"/>
    <w:rsid w:val="00AD2F54"/>
    <w:rsid w:val="00B15A66"/>
    <w:rsid w:val="00B35FB5"/>
    <w:rsid w:val="00B5341A"/>
    <w:rsid w:val="00B5568B"/>
    <w:rsid w:val="00B64842"/>
    <w:rsid w:val="00B70554"/>
    <w:rsid w:val="00B8221A"/>
    <w:rsid w:val="00B93718"/>
    <w:rsid w:val="00BB23E6"/>
    <w:rsid w:val="00BD7813"/>
    <w:rsid w:val="00BF74E9"/>
    <w:rsid w:val="00BF7BFD"/>
    <w:rsid w:val="00C01834"/>
    <w:rsid w:val="00C174A8"/>
    <w:rsid w:val="00C24D59"/>
    <w:rsid w:val="00C579EC"/>
    <w:rsid w:val="00C90226"/>
    <w:rsid w:val="00C92ECE"/>
    <w:rsid w:val="00CA3ACF"/>
    <w:rsid w:val="00CB6AD4"/>
    <w:rsid w:val="00CF6EAF"/>
    <w:rsid w:val="00D10E79"/>
    <w:rsid w:val="00D253ED"/>
    <w:rsid w:val="00D320E0"/>
    <w:rsid w:val="00D56CEB"/>
    <w:rsid w:val="00D63FF3"/>
    <w:rsid w:val="00D906ED"/>
    <w:rsid w:val="00D928FC"/>
    <w:rsid w:val="00D93A54"/>
    <w:rsid w:val="00DF679B"/>
    <w:rsid w:val="00E317BD"/>
    <w:rsid w:val="00E55362"/>
    <w:rsid w:val="00E6064C"/>
    <w:rsid w:val="00E817B4"/>
    <w:rsid w:val="00EA4CFC"/>
    <w:rsid w:val="00EB418E"/>
    <w:rsid w:val="00EB4E6F"/>
    <w:rsid w:val="00EC7944"/>
    <w:rsid w:val="00EE6DD6"/>
    <w:rsid w:val="00F016D9"/>
    <w:rsid w:val="00F036FA"/>
    <w:rsid w:val="00F038E0"/>
    <w:rsid w:val="00F2428E"/>
    <w:rsid w:val="00F42B3E"/>
    <w:rsid w:val="00FC2D6C"/>
    <w:rsid w:val="00FD1749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A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1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na.wrobel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l@w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yna.wrobel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.wrobel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43</cp:revision>
  <cp:lastPrinted>2020-02-05T09:19:00Z</cp:lastPrinted>
  <dcterms:created xsi:type="dcterms:W3CDTF">2023-08-30T13:06:00Z</dcterms:created>
  <dcterms:modified xsi:type="dcterms:W3CDTF">2023-09-25T12:20:00Z</dcterms:modified>
</cp:coreProperties>
</file>