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1E1A3" w14:textId="77777777" w:rsidR="00292303" w:rsidRDefault="00EF1F36" w:rsidP="00EF1F36">
                            <w:pPr>
                              <w:ind w:left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F2B9CB" w14:textId="422E96B2" w:rsidR="00EF1F36" w:rsidRPr="009D2B02" w:rsidRDefault="00292303" w:rsidP="00292303">
                            <w:pPr>
                              <w:ind w:left="0"/>
                              <w:jc w:val="center"/>
                              <w:rPr>
                                <w:color w:val="auto"/>
                              </w:rPr>
                            </w:pPr>
                            <w:r w:rsidRPr="009D2B02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 xml:space="preserve">Synteza </w:t>
                            </w:r>
                            <w:r w:rsidR="00F279F4" w:rsidRPr="009D2B02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 xml:space="preserve">i technologia </w:t>
                            </w:r>
                            <w:r w:rsidRPr="009D2B02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środków leczniczych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7CD1E1A3" w14:textId="77777777" w:rsidR="00292303" w:rsidRDefault="00EF1F36" w:rsidP="00EF1F36">
                      <w:pPr>
                        <w:ind w:left="0"/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F2B9CB" w14:textId="422E96B2" w:rsidR="00EF1F36" w:rsidRPr="009D2B02" w:rsidRDefault="00292303" w:rsidP="00292303">
                      <w:pPr>
                        <w:ind w:left="0"/>
                        <w:jc w:val="center"/>
                        <w:rPr>
                          <w:color w:val="auto"/>
                        </w:rPr>
                      </w:pPr>
                      <w:r w:rsidRPr="009D2B02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 xml:space="preserve">Synteza </w:t>
                      </w:r>
                      <w:r w:rsidR="00F279F4" w:rsidRPr="009D2B02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 xml:space="preserve">i technologia </w:t>
                      </w:r>
                      <w:r w:rsidRPr="009D2B02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środków leczniczych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0B6530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3CE2E251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0B6530" w:rsidRPr="00C01834" w14:paraId="20267CE8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1EDC0C89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Farmaceutyczny</w:t>
            </w:r>
          </w:p>
        </w:tc>
      </w:tr>
      <w:tr w:rsidR="000B6530" w:rsidRPr="00C01834" w14:paraId="4E6AAFC2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7AD9AD1F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farmacja</w:t>
            </w:r>
          </w:p>
        </w:tc>
      </w:tr>
      <w:tr w:rsidR="000B6530" w:rsidRPr="00C01834" w14:paraId="183C2EC2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0B6530" w:rsidRPr="00C01834" w:rsidRDefault="000B6530" w:rsidP="000B6530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4AA79890" w:rsidR="000B6530" w:rsidRPr="00292303" w:rsidRDefault="000B6530" w:rsidP="000B6530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nauki farmaceutyczne</w:t>
            </w:r>
          </w:p>
        </w:tc>
      </w:tr>
      <w:tr w:rsidR="000B6530" w:rsidRPr="00C01834" w14:paraId="71F9ED42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53359DA9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0B6530" w:rsidRPr="00C01834" w14:paraId="75BB47CB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0B6530" w:rsidRPr="00C01834" w:rsidRDefault="000B6530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18E7FA58" w:rsidR="000B6530" w:rsidRPr="00C01834" w:rsidRDefault="004E4A0A" w:rsidP="000B653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0B6530">
              <w:rPr>
                <w:color w:val="auto"/>
              </w:rPr>
              <w:t>tudia jednolite magisterskie</w:t>
            </w:r>
          </w:p>
        </w:tc>
      </w:tr>
      <w:tr w:rsidR="000B6530" w:rsidRPr="00C01834" w14:paraId="319D6F33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3E86A852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stacjonarne/niestacjonarne</w:t>
            </w:r>
          </w:p>
        </w:tc>
      </w:tr>
      <w:tr w:rsidR="000B6530" w:rsidRPr="00C01834" w14:paraId="0D560214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82951F1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obowiązkowy</w:t>
            </w:r>
          </w:p>
        </w:tc>
      </w:tr>
      <w:tr w:rsidR="000B6530" w:rsidRPr="00C01834" w14:paraId="5858F82D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0F0FC88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egzamin</w:t>
            </w:r>
          </w:p>
        </w:tc>
      </w:tr>
      <w:tr w:rsidR="000B6530" w:rsidRPr="00C01834" w14:paraId="4BC9D7EB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7B039F" w14:textId="2FF28955" w:rsidR="000B6530" w:rsidRPr="00292303" w:rsidRDefault="00292303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9D2B02">
              <w:rPr>
                <w:bCs/>
                <w:color w:val="auto"/>
              </w:rPr>
              <w:t xml:space="preserve">Katedra i </w:t>
            </w:r>
            <w:r w:rsidR="000B6530" w:rsidRPr="00292303">
              <w:rPr>
                <w:bCs/>
                <w:color w:val="auto"/>
              </w:rPr>
              <w:t>Zakład Technologii Leków i Biotechnologii Farmaceutycznej</w:t>
            </w:r>
          </w:p>
          <w:p w14:paraId="3685F30C" w14:textId="286A06C7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92303">
              <w:rPr>
                <w:bCs/>
                <w:color w:val="auto"/>
              </w:rPr>
              <w:t>W</w:t>
            </w:r>
            <w:r w:rsidR="00292303">
              <w:rPr>
                <w:bCs/>
                <w:color w:val="auto"/>
              </w:rPr>
              <w:t xml:space="preserve">ydziału </w:t>
            </w:r>
            <w:r w:rsidRPr="00292303">
              <w:rPr>
                <w:bCs/>
                <w:color w:val="auto"/>
              </w:rPr>
              <w:t>F</w:t>
            </w:r>
            <w:r w:rsidR="00292303">
              <w:rPr>
                <w:bCs/>
                <w:color w:val="auto"/>
              </w:rPr>
              <w:t xml:space="preserve">armaceutycznego </w:t>
            </w:r>
            <w:r w:rsidRPr="00292303">
              <w:rPr>
                <w:bCs/>
                <w:color w:val="auto"/>
              </w:rPr>
              <w:t xml:space="preserve"> ul. Banacha 1, 02-097 Warszawa</w:t>
            </w:r>
          </w:p>
        </w:tc>
      </w:tr>
      <w:tr w:rsidR="000B6530" w:rsidRPr="00C01834" w14:paraId="2DE86E08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04906314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Prof. dr hab. Jadwiga Turło</w:t>
            </w:r>
          </w:p>
        </w:tc>
      </w:tr>
      <w:tr w:rsidR="000B6530" w:rsidRPr="00C01834" w14:paraId="52E84EAE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0B6530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C36F70" w14:textId="77777777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Dr hab. Maciej Dawidowski</w:t>
            </w:r>
          </w:p>
          <w:p w14:paraId="1D975D70" w14:textId="57E706C2" w:rsidR="000B6530" w:rsidRPr="00C01834" w:rsidRDefault="00000000" w:rsidP="0029230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0B6530" w:rsidRPr="00E86879">
                <w:rPr>
                  <w:rStyle w:val="Hipercze"/>
                  <w:b/>
                </w:rPr>
                <w:t>maciej.dawidowski@wum.edu.pl</w:t>
              </w:r>
            </w:hyperlink>
          </w:p>
        </w:tc>
      </w:tr>
      <w:tr w:rsidR="000B6530" w:rsidRPr="00C01834" w14:paraId="1C47B7EB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FA8813" w14:textId="77777777" w:rsidR="000B6530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  <w:p w14:paraId="0EF45A6F" w14:textId="652B2B66" w:rsidR="009D2B02" w:rsidRPr="00C01834" w:rsidRDefault="009D2B02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971038E" w14:textId="77777777" w:rsidR="000B6530" w:rsidRPr="00292303" w:rsidRDefault="000B6530" w:rsidP="000B653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292303">
              <w:rPr>
                <w:bCs/>
                <w:color w:val="auto"/>
              </w:rPr>
              <w:t>Dr hab. Maciej Dawidowski</w:t>
            </w:r>
          </w:p>
          <w:p w14:paraId="4F3E18BC" w14:textId="1ACA2480" w:rsidR="000B6530" w:rsidRPr="00C01834" w:rsidRDefault="00000000" w:rsidP="0029230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0B6530" w:rsidRPr="00E86879">
                <w:rPr>
                  <w:rStyle w:val="Hipercze"/>
                  <w:b/>
                </w:rPr>
                <w:t>maciej.dawidowski@wum.edu.pl</w:t>
              </w:r>
            </w:hyperlink>
          </w:p>
        </w:tc>
      </w:tr>
      <w:tr w:rsidR="000B6530" w:rsidRPr="00C01834" w14:paraId="4FD7B3DA" w14:textId="77777777" w:rsidTr="00FB3EDE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7ECD8061" w:rsidR="000B6530" w:rsidRPr="00C01834" w:rsidRDefault="000B6530" w:rsidP="000B653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t xml:space="preserve">Prof. dr hab. Jadwiga Turło, dr hab. Maciej Dawidowski, mgr Małgorzata Kałucka, dr Marzenna Klimaszewska, dr Marek Król, dr Eliza Malinowska, mgr Tomasz Słowiński, dr Grzegorz Ślifirski, mgr Agnieszka Szczepańska, dr Martyna Wróbel 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404B8518" w:rsidR="00C92ECE" w:rsidRPr="00C01834" w:rsidRDefault="0087023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0B6530">
              <w:rPr>
                <w:color w:val="auto"/>
              </w:rPr>
              <w:t>ok III, semestr V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5510491" w:rsidR="00C92ECE" w:rsidRPr="00C01834" w:rsidRDefault="000B6530" w:rsidP="006D6488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lastRenderedPageBreak/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0648E774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21A7BB2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66BA569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10E3F3A5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2.0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6007E142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A30C56E" w:rsidR="00C01834" w:rsidRPr="00C01834" w:rsidRDefault="000B6530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730EBB3" w:rsidR="00C01834" w:rsidRPr="009D2B02" w:rsidRDefault="00B44E53" w:rsidP="006D6488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B02">
              <w:rPr>
                <w:color w:val="auto"/>
              </w:rPr>
              <w:t>2.5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0B6530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468B8985" w:rsidR="000B6530" w:rsidRPr="00C01834" w:rsidRDefault="000B6530" w:rsidP="000B653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4F45D3A6" w:rsidR="000B6530" w:rsidRPr="00C01834" w:rsidRDefault="000B6530" w:rsidP="00E4791B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t>Zapoznanie z metodami poszukiwania nowych substancji aktywnych, podstawowymi zasadami Dobrej Praktyki Wytwarzania (GMP) oraz z syntezami wybranych substancji aktywnych (API).</w:t>
            </w:r>
          </w:p>
        </w:tc>
      </w:tr>
      <w:tr w:rsidR="000B6530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2795C1BF" w:rsidR="000B6530" w:rsidRPr="00C01834" w:rsidRDefault="000B6530" w:rsidP="000B653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368658" w14:textId="44D5608B" w:rsidR="000B6530" w:rsidRDefault="000B6530" w:rsidP="00E4791B">
            <w:pPr>
              <w:spacing w:after="0" w:line="259" w:lineRule="auto"/>
              <w:ind w:left="0" w:firstLine="0"/>
              <w:jc w:val="center"/>
            </w:pPr>
            <w:r>
              <w:t>Opanowanie preparatyki wybranych substancji leczniczych z zastosowaniem odpowiednich operacji fizycznych</w:t>
            </w:r>
          </w:p>
          <w:p w14:paraId="189CAFB7" w14:textId="48E59B26" w:rsidR="000B6530" w:rsidRPr="00C01834" w:rsidRDefault="000B6530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i jednostkowych procesów chemicznych</w:t>
            </w:r>
          </w:p>
        </w:tc>
      </w:tr>
      <w:tr w:rsidR="000B6530" w:rsidRPr="00C01834" w14:paraId="7A46E8E4" w14:textId="77777777" w:rsidTr="00AC4B18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64451" w14:textId="5E370FBF" w:rsidR="000B6530" w:rsidRPr="00C01834" w:rsidRDefault="000B6530" w:rsidP="000B653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C3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2B7DD4CD" w:rsidR="000B6530" w:rsidRPr="00C01834" w:rsidRDefault="000B6530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Uzyskanie umiejętności korzystania z obiektywnych  źródeł informacji.</w:t>
            </w:r>
          </w:p>
        </w:tc>
      </w:tr>
      <w:tr w:rsidR="000B6530" w:rsidRPr="00C01834" w14:paraId="2992E76A" w14:textId="77777777" w:rsidTr="00AC4B18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C4907F" w14:textId="77777777" w:rsidR="000B6530" w:rsidRDefault="000B6530" w:rsidP="000B653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  <w:p w14:paraId="77CB3E14" w14:textId="26E81A73" w:rsidR="000B6530" w:rsidRDefault="000B6530" w:rsidP="000B6530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(K.8)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196DB7" w14:textId="314B7E1A" w:rsidR="000B6530" w:rsidRDefault="000B6530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Nabycie zdolność do formułowania wniosków z własnych pomiarów lub obserwacji.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1D6219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D6219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5DFC4C40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1D6219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178C091B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1D6219" w:rsidRPr="00C01834" w14:paraId="25FEEE9E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4B7AAF22" w:rsidR="001D6219" w:rsidRPr="00C01834" w:rsidRDefault="001D6219" w:rsidP="008602B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1EAE5F96" w:rsidR="001D6219" w:rsidRPr="00C01834" w:rsidRDefault="001D6219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metody wytwarzania przykładowych substancji leczniczych, stosowane operacje fizyczne oraz jednostkowe procesy chemiczne;</w:t>
            </w:r>
          </w:p>
        </w:tc>
      </w:tr>
      <w:tr w:rsidR="001D6219" w:rsidRPr="00C01834" w14:paraId="257A5CD4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64F4DD47" w:rsidR="001D6219" w:rsidRPr="00C01834" w:rsidRDefault="001D6219" w:rsidP="008602B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20D9EB59" w:rsidR="001D6219" w:rsidRPr="00C01834" w:rsidRDefault="001D6219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wymagania dotyczące opisu sposobu wytwarzania i oceny jakości substancji leczniczej w dokumentacji rejestracyjnej;</w:t>
            </w:r>
          </w:p>
        </w:tc>
      </w:tr>
      <w:tr w:rsidR="001D6219" w:rsidRPr="00C01834" w14:paraId="2F669314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685609A" w14:textId="3C9D966D" w:rsidR="001D6219" w:rsidRDefault="001D6219" w:rsidP="008602B3">
            <w:pPr>
              <w:spacing w:after="0" w:line="259" w:lineRule="auto"/>
              <w:ind w:left="161" w:firstLine="0"/>
              <w:jc w:val="center"/>
            </w:pPr>
            <w:r>
              <w:t>C.W12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D7B5CF" w14:textId="1187C117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metody otrzymywania i rozdzielania optycznie czynnych substancji leczniczych oraz metody otrzymywania różnych form polimorficznych;</w:t>
            </w:r>
          </w:p>
        </w:tc>
      </w:tr>
      <w:tr w:rsidR="001D6219" w:rsidRPr="00C01834" w14:paraId="065058BA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4A0B3BC" w:rsidR="001D6219" w:rsidRPr="00C01834" w:rsidRDefault="001D6219" w:rsidP="008602B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5DB328A0" w:rsidR="001D6219" w:rsidRPr="00C01834" w:rsidRDefault="001D6219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metody poszukiwania nowych substancji leczniczych;</w:t>
            </w:r>
          </w:p>
        </w:tc>
      </w:tr>
      <w:tr w:rsidR="001D6219" w:rsidRPr="00C01834" w14:paraId="20A16B5E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3689755" w14:textId="241BE87F" w:rsidR="001D6219" w:rsidRPr="00C01834" w:rsidRDefault="001D6219" w:rsidP="008602B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3BA56B99" w:rsidR="001D6219" w:rsidRPr="00C01834" w:rsidRDefault="001D6219" w:rsidP="00E4791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problematykę ochrony patentowej substancji do celów farmaceutycznych i produktów leczniczych;</w:t>
            </w:r>
          </w:p>
        </w:tc>
      </w:tr>
      <w:tr w:rsidR="001D6219" w:rsidRPr="00C01834" w14:paraId="28D3F0FA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E5CD454" w14:textId="65D05D84" w:rsidR="001D6219" w:rsidRDefault="001D6219" w:rsidP="001D6219">
            <w:pPr>
              <w:spacing w:after="0" w:line="259" w:lineRule="auto"/>
              <w:ind w:left="15" w:firstLine="0"/>
              <w:jc w:val="center"/>
            </w:pPr>
            <w:r>
              <w:lastRenderedPageBreak/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4A8B6F" w14:textId="05A081B9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nowe osiągnięcia w obszarze badań nad lekiem biologicznym i syntetycznym;</w:t>
            </w:r>
          </w:p>
        </w:tc>
      </w:tr>
      <w:tr w:rsidR="001D6219" w:rsidRPr="00C01834" w14:paraId="7AC84A32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46C7B0" w14:textId="70D3659C" w:rsidR="001D6219" w:rsidRDefault="001D6219" w:rsidP="001D6219">
            <w:pPr>
              <w:spacing w:after="0" w:line="259" w:lineRule="auto"/>
              <w:ind w:left="15" w:firstLine="0"/>
              <w:jc w:val="center"/>
            </w:pPr>
            <w:r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677A35" w14:textId="155987B4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zasady Dobrej Praktyki Wytwarzania określonej w przepisach wydanych na podstawie art. 39 ust. 5 pkt 1 ustawy      z dnia 6 września 2001 r. – Prawo farmaceutyczne (Dz. U. z 2019 r. poz. 499, z późn. zm.), w tym zasady dokumentowania procesów technologicznych;</w:t>
            </w:r>
          </w:p>
        </w:tc>
      </w:tr>
      <w:tr w:rsidR="001D6219" w:rsidRPr="00C01834" w14:paraId="6199C6B7" w14:textId="77777777" w:rsidTr="001D6219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DF10F1" w14:textId="72460FF8" w:rsidR="001D6219" w:rsidRDefault="001D6219" w:rsidP="001D6219">
            <w:pPr>
              <w:spacing w:after="0" w:line="259" w:lineRule="auto"/>
              <w:ind w:left="0" w:firstLine="0"/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1D6219" w:rsidRPr="00C01834" w14:paraId="1911FFB3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F1C104" w14:textId="628B302B" w:rsidR="001D6219" w:rsidRPr="00C01834" w:rsidRDefault="001D6219" w:rsidP="001D6219">
            <w:pPr>
              <w:spacing w:after="0" w:line="259" w:lineRule="auto"/>
              <w:ind w:left="15" w:firstLine="0"/>
              <w:jc w:val="center"/>
              <w:rPr>
                <w:b/>
                <w:color w:val="auto"/>
              </w:rPr>
            </w:pPr>
            <w:r>
              <w:t>C.U9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86A26E" w14:textId="3D2A6FD2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wytypować etapy i parametry krytyczne w procesie syntezy substancji leczniczej oraz przygotować schemat blokowy przykładowego procesu syntezy;</w:t>
            </w:r>
          </w:p>
        </w:tc>
      </w:tr>
      <w:tr w:rsidR="001D6219" w:rsidRPr="00C01834" w14:paraId="035EB398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82EF7DA" w14:textId="631C824B" w:rsidR="001D6219" w:rsidRDefault="001D6219" w:rsidP="001D6219">
            <w:pPr>
              <w:spacing w:after="0" w:line="259" w:lineRule="auto"/>
              <w:ind w:left="15" w:firstLine="0"/>
              <w:jc w:val="center"/>
            </w:pPr>
            <w:r>
              <w:t xml:space="preserve"> C.U10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E7601A" w14:textId="57BF5A4D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przeprowadzać syntezę substancji leczniczej oraz zaproponować metodę jej oczyszczania;</w:t>
            </w:r>
          </w:p>
        </w:tc>
      </w:tr>
      <w:tr w:rsidR="001D6219" w:rsidRPr="00C01834" w14:paraId="151C5404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0F89F8" w14:textId="7ACFE621" w:rsidR="001D6219" w:rsidRDefault="001D6219" w:rsidP="001D6219">
            <w:pPr>
              <w:spacing w:after="0" w:line="259" w:lineRule="auto"/>
              <w:ind w:left="15" w:firstLine="0"/>
              <w:jc w:val="center"/>
            </w:pPr>
            <w:r>
              <w:t>C.U11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2CD60C" w14:textId="14BC8789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wyjaśniać obecność pozostałości rozpuszczalników i innych zanieczyszczeń w substancji leczniczej;</w:t>
            </w:r>
          </w:p>
        </w:tc>
      </w:tr>
      <w:tr w:rsidR="001D6219" w:rsidRPr="00C01834" w14:paraId="4E171291" w14:textId="77777777" w:rsidTr="001D6219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7E22252" w14:textId="66302F12" w:rsidR="001D6219" w:rsidRDefault="001D6219" w:rsidP="001D6219">
            <w:pPr>
              <w:spacing w:after="0" w:line="259" w:lineRule="auto"/>
              <w:ind w:left="15" w:firstLine="0"/>
              <w:jc w:val="center"/>
            </w:pPr>
            <w:r>
              <w:t>C.U34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4B7011" w14:textId="618AC30B" w:rsidR="001D6219" w:rsidRDefault="001D6219" w:rsidP="00E4791B">
            <w:pPr>
              <w:spacing w:after="0" w:line="259" w:lineRule="auto"/>
              <w:ind w:left="0" w:firstLine="0"/>
              <w:jc w:val="center"/>
            </w:pPr>
            <w:r>
              <w:t>wyszukiwać informacje naukowe dotyczące substancji i produktów leczniczych;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B0D5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2B9C47A6" w:rsidR="008B0D5F" w:rsidRPr="00C01834" w:rsidRDefault="008B0D5F" w:rsidP="008B0D5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75690C" w14:textId="3928B9D5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S1. Rozdrabnianie i Mieszanie. Zasady GMP na przykładzie dokument</w:t>
            </w:r>
            <w:r w:rsidR="008602B3" w:rsidRPr="004E4A0A">
              <w:rPr>
                <w:bCs/>
              </w:rPr>
              <w:t>u</w:t>
            </w:r>
            <w:r w:rsidRPr="004E4A0A">
              <w:rPr>
                <w:bCs/>
              </w:rPr>
              <w:t xml:space="preserve"> ASMF.</w:t>
            </w:r>
          </w:p>
          <w:p w14:paraId="244BBE9D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 xml:space="preserve">S2. Metody poszukiwania nowych związków o spodziewanym działaniu farmakologicznym. Substancje wiodące i ich optymalizacja. Chemia kombinatoryczna. </w:t>
            </w:r>
            <w:r w:rsidRPr="004E4A0A">
              <w:rPr>
                <w:bCs/>
                <w:i/>
                <w:iCs/>
              </w:rPr>
              <w:t>High Throughput Screening.</w:t>
            </w:r>
          </w:p>
          <w:p w14:paraId="08DC4AEE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S3. Destylacja i rektyfikacja. Pompy próżniowe. Synteza Tropikamidu.</w:t>
            </w:r>
          </w:p>
          <w:p w14:paraId="0633414A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S4. Utlenianie. Syntezy Klemastyny, Testosteronu i Chlorodiazepoksydu.</w:t>
            </w:r>
          </w:p>
          <w:p w14:paraId="775C6987" w14:textId="6CBA2663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 xml:space="preserve">S5. Sulfonowanie i chlorosulfonowanie, aminowanie. Syntezy środków leczniczych: sulfonamidy (Sulfanilamid, Sulfacetamid, Furosemid, Tolbutamid), Kwas Salicylowy, Kwas Acetylosalicylowy (Polopiryna, </w:t>
            </w:r>
            <w:r w:rsidRPr="004E4A0A">
              <w:rPr>
                <w:bCs/>
              </w:rPr>
              <w:lastRenderedPageBreak/>
              <w:t>Aspiryna), Kwas p-Aminosalicylowy (PAS).Metody oczyszczania związków organicznych i określania stopnia ich czystości.</w:t>
            </w:r>
          </w:p>
          <w:p w14:paraId="2F496258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S6. Ekstrakcja, krystalizacja, chromatografia.</w:t>
            </w:r>
          </w:p>
          <w:p w14:paraId="2D4E9F04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S7. Syntezy środków leczniczych: Fenytoina, Nifedypina, „Ewolucja syntezy” na przykładzie Fluoksetyny. Synteza asymetryczna.</w:t>
            </w:r>
          </w:p>
          <w:p w14:paraId="3C371626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S8. Chłodzenie, suszenie. Syntezy :  Binazyny, Bikordyny, Paracetamolu. Chlorowcowanie. Redukcja. Zielona Farmacja.</w:t>
            </w:r>
          </w:p>
          <w:p w14:paraId="28598467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S9. Filtracja, wirowanie. Nitrowanie, nitrozowanie.</w:t>
            </w:r>
          </w:p>
          <w:p w14:paraId="0D3919AB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S10. Diazowanie, hydroliza, estryfikacja. Syntezy środków leczniczych: Anestezyna, Nowokaina, Ksylokaina.</w:t>
            </w:r>
          </w:p>
          <w:p w14:paraId="629A7C14" w14:textId="77777777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S11. Alkilowanie. Syntezy środków leczniczych: Petydyna, Kodeina, Pergolid, Fentanyl, Klozapina i Hydrochlorotiazyd.</w:t>
            </w:r>
          </w:p>
          <w:p w14:paraId="0485E40C" w14:textId="3C5FA30B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4E4A0A">
              <w:rPr>
                <w:bCs/>
              </w:rPr>
              <w:t>S12. Ochrona Patentowa.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72796E58" w:rsidR="008B0D5F" w:rsidRPr="00C01834" w:rsidRDefault="008B0D5F" w:rsidP="006D648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lastRenderedPageBreak/>
              <w:t>C.W10, C.W11, C.W12, C.W13, C.W14, C.W24, C.W33</w:t>
            </w:r>
          </w:p>
        </w:tc>
      </w:tr>
      <w:tr w:rsidR="008B0D5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46F42D93" w:rsidR="008B0D5F" w:rsidRPr="00C01834" w:rsidRDefault="008B0D5F" w:rsidP="008B0D5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085434F" w14:textId="3BFEB93C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4E4A0A">
              <w:rPr>
                <w:bCs/>
              </w:rPr>
              <w:t>Ćwiczenia C1-C12</w:t>
            </w:r>
          </w:p>
          <w:p w14:paraId="21AFAD14" w14:textId="43D9BEE1" w:rsidR="008B0D5F" w:rsidRPr="004E4A0A" w:rsidRDefault="008B0D5F" w:rsidP="00315DA3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bookmarkStart w:id="1" w:name="_Hlk72924508"/>
            <w:r w:rsidRPr="004E4A0A">
              <w:rPr>
                <w:bCs/>
              </w:rPr>
              <w:t>Ćwiczenia obejmują syntezy substancji farmakologicznie aktywnych oraz oczyszczanie produktów reakcji w skali laboratoryjnej. Każdy student wykonuje samodzielnie lub w podgrupie przynajmniej dwa preparaty. Przykłady preparatów: Anestezyna, Cholamid, Etenzamid, Fenytoina, Izoniazyd</w:t>
            </w:r>
            <w:r w:rsidR="008602B3" w:rsidRPr="004E4A0A">
              <w:rPr>
                <w:bCs/>
              </w:rPr>
              <w:t xml:space="preserve">, </w:t>
            </w:r>
            <w:r w:rsidRPr="004E4A0A">
              <w:rPr>
                <w:bCs/>
              </w:rPr>
              <w:t>Nifedypina, Polopiryna, Sulfanilamid, Witamina PP.  Wybór preparatu i tryb przeprowadzenia syntezy są ustalane indywidualnie przez asystenta prowadzącego. Alternatywnie, zależnie od decyzji prowadzących, część ćwiczeń może przybierać formę projektowania ścieżek syntez wybranych leków przy użyciu baz danych oraz/lub analizy preparatyki wybranych substancji aktywnych.</w:t>
            </w:r>
            <w:bookmarkEnd w:id="1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378B2978" w:rsidR="008B0D5F" w:rsidRPr="00C01834" w:rsidRDefault="008B0D5F" w:rsidP="006D648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C.W10, C.W11, C.W12, C.W13, C.W14, C.W24, C.W33, C.U9, C.U10, C.U11, C.U34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bookmarkEnd w:id="2"/>
      <w:tr w:rsidR="00F55016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188CD067" w:rsidR="00F55016" w:rsidRPr="00C01834" w:rsidRDefault="00F55016" w:rsidP="00F55016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tr w:rsidR="00F55016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D23C759" w14:textId="77777777" w:rsidR="00F55016" w:rsidRPr="00C2789A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Arial"/>
                <w:color w:val="auto"/>
                <w:szCs w:val="18"/>
              </w:rPr>
            </w:pPr>
            <w:r w:rsidRPr="00C2789A">
              <w:rPr>
                <w:rFonts w:cs="Arial"/>
                <w:color w:val="auto"/>
                <w:szCs w:val="18"/>
              </w:rPr>
              <w:t xml:space="preserve">Vogel A. I.: </w:t>
            </w:r>
            <w:r w:rsidRPr="00250E83">
              <w:rPr>
                <w:rFonts w:cs="Arial"/>
                <w:i/>
                <w:color w:val="auto"/>
                <w:szCs w:val="18"/>
              </w:rPr>
              <w:t>Preparatyka organiczna</w:t>
            </w:r>
            <w:r w:rsidRPr="00C2789A">
              <w:rPr>
                <w:rFonts w:cs="Arial"/>
                <w:color w:val="auto"/>
                <w:szCs w:val="18"/>
              </w:rPr>
              <w:t>. Wyd. III</w:t>
            </w:r>
            <w:r>
              <w:rPr>
                <w:rFonts w:cs="Arial"/>
                <w:color w:val="auto"/>
                <w:szCs w:val="18"/>
              </w:rPr>
              <w:t xml:space="preserve">, </w:t>
            </w:r>
            <w:r w:rsidRPr="00C2789A">
              <w:rPr>
                <w:rFonts w:cs="Arial"/>
                <w:color w:val="auto"/>
                <w:szCs w:val="18"/>
              </w:rPr>
              <w:t>WNT</w:t>
            </w:r>
            <w:r>
              <w:rPr>
                <w:rFonts w:cs="Arial"/>
                <w:color w:val="auto"/>
                <w:szCs w:val="18"/>
              </w:rPr>
              <w:t xml:space="preserve"> – Wydawnictwa Naukowo-Techniczne,</w:t>
            </w:r>
            <w:r w:rsidRPr="00C2789A">
              <w:rPr>
                <w:rFonts w:cs="Arial"/>
                <w:color w:val="auto"/>
                <w:szCs w:val="18"/>
              </w:rPr>
              <w:t xml:space="preserve"> 2006 </w:t>
            </w:r>
          </w:p>
          <w:p w14:paraId="10A3898F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Tułecki J.: </w:t>
            </w:r>
            <w:r w:rsidRPr="00250E83">
              <w:rPr>
                <w:i/>
              </w:rPr>
              <w:t>Technologia środków leczniczych</w:t>
            </w:r>
            <w:r>
              <w:t>. Wydawnictwa Lekarskie PZWL, 1978</w:t>
            </w:r>
          </w:p>
          <w:p w14:paraId="6CE0FFE6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Kuczyński L.: </w:t>
            </w:r>
            <w:r w:rsidRPr="00250E83">
              <w:rPr>
                <w:i/>
              </w:rPr>
              <w:t>Technologia leków</w:t>
            </w:r>
            <w:r>
              <w:t xml:space="preserve">. Warszawa </w:t>
            </w:r>
            <w:r w:rsidRPr="00C2789A">
              <w:rPr>
                <w:rFonts w:cs="Arial"/>
                <w:color w:val="auto"/>
                <w:szCs w:val="18"/>
              </w:rPr>
              <w:t>WNT</w:t>
            </w:r>
            <w:r>
              <w:rPr>
                <w:rFonts w:cs="Arial"/>
                <w:color w:val="auto"/>
                <w:szCs w:val="18"/>
              </w:rPr>
              <w:t xml:space="preserve"> – Wydawnictwa Naukowo-Techniczne,</w:t>
            </w:r>
            <w:r>
              <w:t xml:space="preserve"> 1971 </w:t>
            </w:r>
          </w:p>
          <w:p w14:paraId="0EC6094D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Biniecki S.: </w:t>
            </w:r>
            <w:r w:rsidRPr="00250E83">
              <w:rPr>
                <w:i/>
              </w:rPr>
              <w:t>Preparatyka środków leczniczych. Podręcznik dla studentów farmacji</w:t>
            </w:r>
            <w:r>
              <w:t xml:space="preserve">. Wydawnictwo Lekarskie  PZWL, 1983 </w:t>
            </w:r>
          </w:p>
          <w:p w14:paraId="5E5F946E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Marona H.: </w:t>
            </w:r>
            <w:r w:rsidRPr="00250E83">
              <w:rPr>
                <w:i/>
              </w:rPr>
              <w:t>Syntezy środków leczniczych</w:t>
            </w:r>
            <w:r>
              <w:t xml:space="preserve">. Wydawnictwo Uniwersytetu Jagiellońskiego. Kraków, 2002 </w:t>
            </w:r>
          </w:p>
          <w:p w14:paraId="13CE286A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Jerzmanowska Z.: </w:t>
            </w:r>
            <w:r w:rsidRPr="00250E83">
              <w:rPr>
                <w:i/>
              </w:rPr>
              <w:t>Preparatyka organicznych związków chemicznych</w:t>
            </w:r>
            <w:r>
              <w:t xml:space="preserve">. Wydawnictwo Lekarskie PZWL, 1973 </w:t>
            </w:r>
          </w:p>
          <w:p w14:paraId="66F125ED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Kieć- Kononowicz K.: </w:t>
            </w:r>
            <w:r w:rsidRPr="00250E83">
              <w:rPr>
                <w:i/>
              </w:rPr>
              <w:t>Wybrane zagadnienia z metod poszukiwania i otrzymywania środków leczniczych</w:t>
            </w:r>
            <w:r>
              <w:t xml:space="preserve">. Wydawnictwo Uniwersytetu Jagiellońskiego. Kraków, 2000 </w:t>
            </w:r>
          </w:p>
          <w:p w14:paraId="4C48D082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McMurry J.: </w:t>
            </w:r>
            <w:r w:rsidRPr="00250E83">
              <w:rPr>
                <w:i/>
              </w:rPr>
              <w:t>Chemia organiczna</w:t>
            </w:r>
            <w:r>
              <w:t xml:space="preserve">. Tom I i II. Wydawnictwo Naukowe PWN, 2000 </w:t>
            </w:r>
          </w:p>
          <w:p w14:paraId="2073FC25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Tkaczyński T., Tkaczyńska D.: </w:t>
            </w:r>
            <w:r w:rsidRPr="00250E83">
              <w:rPr>
                <w:i/>
              </w:rPr>
              <w:t>Synteza i Technologia Chemiczna Leków</w:t>
            </w:r>
            <w:r>
              <w:t xml:space="preserve">. Wydawnictwo Lekarskie PZWL, 1984 </w:t>
            </w:r>
          </w:p>
          <w:p w14:paraId="1C9CE705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Silverman R.B.: </w:t>
            </w:r>
            <w:r w:rsidRPr="00250E83">
              <w:rPr>
                <w:i/>
              </w:rPr>
              <w:t>Chemia organiczna w projektowaniu leków</w:t>
            </w:r>
            <w:r>
              <w:t xml:space="preserve">.WNT- Wydawnictwa Naukowo-Techniczne, 2004 </w:t>
            </w:r>
          </w:p>
          <w:p w14:paraId="4A575A8C" w14:textId="77777777" w:rsidR="00F55016" w:rsidRPr="00C2789A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  <w:rPr>
                <w:lang w:val="en-US"/>
              </w:rPr>
            </w:pPr>
            <w:r w:rsidRPr="00C2789A">
              <w:rPr>
                <w:lang w:val="en-US"/>
              </w:rPr>
              <w:t xml:space="preserve">Rylander P.N.: </w:t>
            </w:r>
            <w:r w:rsidRPr="00250E83">
              <w:rPr>
                <w:i/>
                <w:lang w:val="en-US"/>
              </w:rPr>
              <w:t>Hydrogenation methods</w:t>
            </w:r>
            <w:r w:rsidRPr="00C2789A">
              <w:rPr>
                <w:lang w:val="en-US"/>
              </w:rPr>
              <w:t>. Academic Press. London</w:t>
            </w:r>
            <w:r>
              <w:rPr>
                <w:lang w:val="en-US"/>
              </w:rPr>
              <w:t xml:space="preserve">, </w:t>
            </w:r>
            <w:r w:rsidRPr="00C2789A">
              <w:rPr>
                <w:lang w:val="en-US"/>
              </w:rPr>
              <w:t xml:space="preserve"> 1985 </w:t>
            </w:r>
          </w:p>
          <w:p w14:paraId="14397B63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 w:rsidRPr="00C2789A">
              <w:t xml:space="preserve">Alder R.W., Baker R., Brown J.M.: </w:t>
            </w:r>
            <w:r w:rsidRPr="00250E83">
              <w:rPr>
                <w:i/>
              </w:rPr>
              <w:t>Mechanizmy reakcji w Chemii Organicznej</w:t>
            </w:r>
            <w:r w:rsidRPr="00C2789A">
              <w:t xml:space="preserve">. </w:t>
            </w:r>
            <w:r>
              <w:t xml:space="preserve">Wydawnictwo Naukowe PWN, 1977 </w:t>
            </w:r>
          </w:p>
          <w:p w14:paraId="7C3F4639" w14:textId="77777777" w:rsidR="00F55016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</w:pPr>
            <w:r>
              <w:t xml:space="preserve">Gawroński J., Gawrońska K., Kacprzak K., Kwit M.: </w:t>
            </w:r>
            <w:r w:rsidRPr="00250E83">
              <w:rPr>
                <w:i/>
              </w:rPr>
              <w:t>Współczesna Synteza Organiczna</w:t>
            </w:r>
            <w:r w:rsidRPr="008F0137">
              <w:rPr>
                <w:i/>
              </w:rPr>
              <w:t>. Wybór eksperymentów.</w:t>
            </w:r>
            <w:r>
              <w:t xml:space="preserve"> Wydawnictwo Naukowe PWN, 2004 </w:t>
            </w:r>
          </w:p>
          <w:p w14:paraId="227600EE" w14:textId="77777777" w:rsidR="00F55016" w:rsidRPr="00CC6681" w:rsidRDefault="00F55016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  <w:rPr>
                <w:color w:val="auto"/>
              </w:rPr>
            </w:pPr>
            <w:r>
              <w:t xml:space="preserve">13. Patrick L.G.: Chemia medyczna. </w:t>
            </w:r>
            <w:r w:rsidRPr="00250E83">
              <w:rPr>
                <w:i/>
              </w:rPr>
              <w:t>Podstawowe zagadnienia</w:t>
            </w:r>
            <w:r>
              <w:t xml:space="preserve">. WNT-Wydawnictwa Naukowo-Techniczne, 2001 </w:t>
            </w:r>
          </w:p>
          <w:p w14:paraId="12415FA4" w14:textId="735007EB" w:rsidR="00CC6681" w:rsidRPr="008F0137" w:rsidRDefault="00CC6681" w:rsidP="00F55016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360"/>
              <w:rPr>
                <w:color w:val="auto"/>
              </w:rPr>
            </w:pPr>
            <w:r>
              <w:t xml:space="preserve">Materiały </w:t>
            </w:r>
            <w:r w:rsidRPr="00E41E17">
              <w:rPr>
                <w:szCs w:val="18"/>
              </w:rPr>
              <w:t xml:space="preserve">pomocnicze umieszczone na stronie internetowej  Katedry </w:t>
            </w:r>
            <w:r w:rsidR="00401416">
              <w:rPr>
                <w:szCs w:val="18"/>
              </w:rPr>
              <w:t xml:space="preserve">i Zakładu </w:t>
            </w:r>
            <w:r w:rsidRPr="00E41E17">
              <w:rPr>
                <w:szCs w:val="18"/>
              </w:rPr>
              <w:t>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</w:p>
          <w:p w14:paraId="10528821" w14:textId="1D419C2A" w:rsidR="00F55016" w:rsidRPr="00C01834" w:rsidRDefault="00F55016" w:rsidP="00F55016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F55016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5B93C95" w:rsidR="00F55016" w:rsidRPr="00014630" w:rsidRDefault="00F55016" w:rsidP="00F55016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  <w:r w:rsidR="00401416">
              <w:rPr>
                <w:b/>
                <w:bCs/>
                <w:color w:val="auto"/>
              </w:rPr>
              <w:t xml:space="preserve"> </w:t>
            </w:r>
          </w:p>
        </w:tc>
      </w:tr>
      <w:tr w:rsidR="00F55016" w:rsidRPr="005D2BCE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3CE8CE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62AD5">
              <w:rPr>
                <w:lang w:val="en-US"/>
              </w:rPr>
              <w:t xml:space="preserve">1. Dehmlow E.V., Dehmlow S.S.: </w:t>
            </w:r>
            <w:r w:rsidRPr="00250E83">
              <w:rPr>
                <w:i/>
                <w:lang w:val="en-US"/>
              </w:rPr>
              <w:t>Phase Transfer Catalysis</w:t>
            </w:r>
            <w:r w:rsidRPr="00362AD5">
              <w:rPr>
                <w:lang w:val="en-US"/>
              </w:rPr>
              <w:t>, Third, Revised and Enlarged Edition. VCH, Weinheim. New York</w:t>
            </w:r>
            <w:r>
              <w:rPr>
                <w:lang w:val="en-US"/>
              </w:rPr>
              <w:t>,</w:t>
            </w:r>
            <w:r w:rsidRPr="00362AD5">
              <w:rPr>
                <w:lang w:val="en-US"/>
              </w:rPr>
              <w:t xml:space="preserve"> 1993 </w:t>
            </w:r>
          </w:p>
          <w:p w14:paraId="0EBC2671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62AD5">
              <w:rPr>
                <w:lang w:val="en-US"/>
              </w:rPr>
              <w:t xml:space="preserve">2. Blaser H.U., Schmidt E. (Eds): </w:t>
            </w:r>
            <w:r w:rsidRPr="00250E83">
              <w:rPr>
                <w:i/>
                <w:lang w:val="en-US"/>
              </w:rPr>
              <w:t>Asymmetric Catalysis on Industrial Scale. Challenges, Approaches and Solutions</w:t>
            </w:r>
            <w:r w:rsidRPr="00362AD5">
              <w:rPr>
                <w:lang w:val="en-US"/>
              </w:rPr>
              <w:t>. Wiley-VCH Verlag GmbH</w:t>
            </w:r>
          </w:p>
          <w:p w14:paraId="631B7D6A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62AD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362AD5">
              <w:rPr>
                <w:lang w:val="en-US"/>
              </w:rPr>
              <w:t>and Co. KGaA. Weinheim</w:t>
            </w:r>
            <w:r>
              <w:rPr>
                <w:lang w:val="en-US"/>
              </w:rPr>
              <w:t>,</w:t>
            </w:r>
            <w:r w:rsidRPr="00362AD5">
              <w:rPr>
                <w:lang w:val="en-US"/>
              </w:rPr>
              <w:t xml:space="preserve"> 2004 </w:t>
            </w:r>
          </w:p>
          <w:p w14:paraId="30A72679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62AD5">
              <w:rPr>
                <w:lang w:val="en-US"/>
              </w:rPr>
              <w:t>3. Smith M.B., March J.: Advanced Organic Chemistry, Reactions, Mechanisms and Structure. Fifth Edition. John Wiley and Sons, INC.</w:t>
            </w:r>
          </w:p>
          <w:p w14:paraId="177BB711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362AD5">
              <w:rPr>
                <w:lang w:val="en-US"/>
              </w:rPr>
              <w:t xml:space="preserve"> New York</w:t>
            </w:r>
            <w:r>
              <w:rPr>
                <w:lang w:val="en-US"/>
              </w:rPr>
              <w:t>,</w:t>
            </w:r>
            <w:r w:rsidRPr="00362AD5">
              <w:rPr>
                <w:lang w:val="en-US"/>
              </w:rPr>
              <w:t xml:space="preserve"> 2001 </w:t>
            </w:r>
          </w:p>
          <w:p w14:paraId="002AC91E" w14:textId="77777777" w:rsidR="00F55016" w:rsidRDefault="00F550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362AD5">
              <w:rPr>
                <w:lang w:val="en-US"/>
              </w:rPr>
              <w:t>4. Collins A.N., Sheldrake G.N., Crosby J.:</w:t>
            </w:r>
            <w:r>
              <w:rPr>
                <w:lang w:val="en-US"/>
              </w:rPr>
              <w:t xml:space="preserve"> </w:t>
            </w:r>
            <w:r w:rsidRPr="00362AD5">
              <w:rPr>
                <w:lang w:val="en-US"/>
              </w:rPr>
              <w:t xml:space="preserve"> </w:t>
            </w:r>
            <w:r w:rsidRPr="00250E83">
              <w:rPr>
                <w:i/>
                <w:lang w:val="en-US"/>
              </w:rPr>
              <w:t>Chirality in Industry Part 1</w:t>
            </w:r>
            <w:r w:rsidRPr="00362AD5">
              <w:rPr>
                <w:lang w:val="en-US"/>
              </w:rPr>
              <w:t>. John Wiley and Sons. Chichester</w:t>
            </w:r>
            <w:r>
              <w:rPr>
                <w:lang w:val="en-US"/>
              </w:rPr>
              <w:t>,</w:t>
            </w:r>
            <w:r w:rsidRPr="00362AD5">
              <w:rPr>
                <w:lang w:val="en-US"/>
              </w:rPr>
              <w:t xml:space="preserve"> 1992 </w:t>
            </w:r>
          </w:p>
          <w:p w14:paraId="04723162" w14:textId="7BF6B164" w:rsidR="00F55016" w:rsidRDefault="004014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55016" w:rsidRPr="00362AD5">
              <w:rPr>
                <w:lang w:val="en-US"/>
              </w:rPr>
              <w:t xml:space="preserve">. Collins A.N., Sheldrake G.N., Crosby J.: </w:t>
            </w:r>
            <w:r w:rsidR="00F55016" w:rsidRPr="00250E83">
              <w:rPr>
                <w:i/>
                <w:lang w:val="en-US"/>
              </w:rPr>
              <w:t>Chirality in Industry Part 2</w:t>
            </w:r>
            <w:r w:rsidR="00F55016" w:rsidRPr="00362AD5">
              <w:rPr>
                <w:lang w:val="en-US"/>
              </w:rPr>
              <w:t>. John Wiley and Sons. Chichester</w:t>
            </w:r>
            <w:r w:rsidR="00F55016">
              <w:rPr>
                <w:lang w:val="en-US"/>
              </w:rPr>
              <w:t>,</w:t>
            </w:r>
            <w:r w:rsidR="00F55016" w:rsidRPr="00362AD5">
              <w:rPr>
                <w:lang w:val="en-US"/>
              </w:rPr>
              <w:t xml:space="preserve"> 1997 </w:t>
            </w:r>
          </w:p>
          <w:p w14:paraId="2BDD39E5" w14:textId="7FF844A8" w:rsidR="00F55016" w:rsidRDefault="004014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55016" w:rsidRPr="00362AD5">
              <w:rPr>
                <w:lang w:val="en-US"/>
              </w:rPr>
              <w:t xml:space="preserve">. Noyori R.: </w:t>
            </w:r>
            <w:r w:rsidR="00F55016" w:rsidRPr="00250E83">
              <w:rPr>
                <w:i/>
                <w:lang w:val="en-US"/>
              </w:rPr>
              <w:t>Asymmetric Catalysis in Organic Chemistry</w:t>
            </w:r>
            <w:r w:rsidR="00F55016" w:rsidRPr="00362AD5">
              <w:rPr>
                <w:lang w:val="en-US"/>
              </w:rPr>
              <w:t>. John Wiley and Sons. New York</w:t>
            </w:r>
            <w:r w:rsidR="00F55016">
              <w:rPr>
                <w:lang w:val="en-US"/>
              </w:rPr>
              <w:t>,</w:t>
            </w:r>
            <w:r w:rsidR="00F55016" w:rsidRPr="00362AD5">
              <w:rPr>
                <w:lang w:val="en-US"/>
              </w:rPr>
              <w:t xml:space="preserve"> 1994 </w:t>
            </w:r>
          </w:p>
          <w:p w14:paraId="6102DE5E" w14:textId="21D4F734" w:rsidR="00F55016" w:rsidRDefault="004014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F55016" w:rsidRPr="00362AD5">
              <w:rPr>
                <w:lang w:val="en-US"/>
              </w:rPr>
              <w:t xml:space="preserve">. Gadamasetti K.G.: Process </w:t>
            </w:r>
            <w:r w:rsidR="00F55016" w:rsidRPr="00250E83">
              <w:rPr>
                <w:i/>
                <w:lang w:val="en-US"/>
              </w:rPr>
              <w:t>Chemistry in the Pharmaceutical Industry</w:t>
            </w:r>
            <w:r w:rsidR="00F55016" w:rsidRPr="00362AD5">
              <w:rPr>
                <w:lang w:val="en-US"/>
              </w:rPr>
              <w:t xml:space="preserve">. Macel Deckker, INC. New York, Basel 1999 </w:t>
            </w:r>
          </w:p>
          <w:p w14:paraId="46199D71" w14:textId="150760D1" w:rsidR="00F55016" w:rsidRDefault="00401416" w:rsidP="00F55016">
            <w:pPr>
              <w:spacing w:after="0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="00F55016" w:rsidRPr="00362AD5">
              <w:rPr>
                <w:lang w:val="en-US"/>
              </w:rPr>
              <w:t xml:space="preserve">. Crossley R.: </w:t>
            </w:r>
            <w:r w:rsidR="00F55016" w:rsidRPr="00250E83">
              <w:rPr>
                <w:i/>
                <w:lang w:val="en-US"/>
              </w:rPr>
              <w:t>Chirality and the Biological Activity of Drugs</w:t>
            </w:r>
            <w:r w:rsidR="00F55016" w:rsidRPr="00362AD5">
              <w:rPr>
                <w:lang w:val="en-US"/>
              </w:rPr>
              <w:t>. CRC Press, Boca Raton. New York</w:t>
            </w:r>
            <w:r w:rsidR="00F55016">
              <w:rPr>
                <w:lang w:val="en-US"/>
              </w:rPr>
              <w:t>,</w:t>
            </w:r>
            <w:r w:rsidR="00F55016" w:rsidRPr="00362AD5">
              <w:rPr>
                <w:lang w:val="en-US"/>
              </w:rPr>
              <w:t xml:space="preserve"> 1995 </w:t>
            </w:r>
          </w:p>
          <w:p w14:paraId="5FB9DFC0" w14:textId="18573F87" w:rsidR="00F55016" w:rsidRDefault="00401416" w:rsidP="00F55016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9</w:t>
            </w:r>
            <w:r w:rsidR="00F55016" w:rsidRPr="00362AD5">
              <w:rPr>
                <w:lang w:val="en-US"/>
              </w:rPr>
              <w:t xml:space="preserve">. Gualtieri F.: </w:t>
            </w:r>
            <w:r w:rsidR="00F55016" w:rsidRPr="00250E83">
              <w:rPr>
                <w:i/>
                <w:lang w:val="en-US"/>
              </w:rPr>
              <w:t xml:space="preserve">New Trends in Synthetic Medicinal Chemistry </w:t>
            </w:r>
            <w:r w:rsidR="00F55016" w:rsidRPr="00362AD5">
              <w:rPr>
                <w:lang w:val="en-US"/>
              </w:rPr>
              <w:t xml:space="preserve">Vol.7, Wiley – VCH Weinheim. </w:t>
            </w:r>
            <w:r w:rsidR="00F55016">
              <w:t xml:space="preserve">New York, 2000 </w:t>
            </w:r>
          </w:p>
          <w:p w14:paraId="78C9B192" w14:textId="5F4C5A0C" w:rsidR="00F55016" w:rsidRPr="002B5AA0" w:rsidRDefault="00F55016" w:rsidP="00F55016">
            <w:pPr>
              <w:spacing w:after="0" w:line="259" w:lineRule="auto"/>
              <w:ind w:left="0" w:firstLine="0"/>
            </w:pPr>
            <w:r>
              <w:t>1</w:t>
            </w:r>
            <w:r w:rsidR="00401416">
              <w:t>0</w:t>
            </w:r>
            <w:r>
              <w:t xml:space="preserve">. Zieliński W., Rajca A.: </w:t>
            </w:r>
            <w:r w:rsidRPr="00250E83">
              <w:rPr>
                <w:i/>
              </w:rPr>
              <w:t>Metody Spektroskopowe i ich zastosowanie do identyfikacji związków organicznych</w:t>
            </w:r>
            <w:r>
              <w:t xml:space="preserve">. </w:t>
            </w:r>
            <w:r w:rsidRPr="002B5AA0">
              <w:t xml:space="preserve">WNT- Wydawnictwa Naukowo-Techniczne,  2000 </w:t>
            </w:r>
          </w:p>
          <w:p w14:paraId="47BFFACE" w14:textId="784096B7" w:rsidR="00F55016" w:rsidRPr="00FE58E6" w:rsidRDefault="00F55016" w:rsidP="00FE58E6">
            <w:pPr>
              <w:spacing w:after="0" w:line="259" w:lineRule="auto"/>
              <w:ind w:left="0" w:right="335" w:firstLine="0"/>
              <w:rPr>
                <w:color w:val="auto"/>
                <w:lang w:val="en-US"/>
              </w:rPr>
            </w:pPr>
            <w:r w:rsidRPr="004E4A0A">
              <w:t>1</w:t>
            </w:r>
            <w:r w:rsidR="00401416" w:rsidRPr="004E4A0A">
              <w:t>1</w:t>
            </w:r>
            <w:r w:rsidRPr="004E4A0A">
              <w:t xml:space="preserve">. </w:t>
            </w:r>
            <w:r w:rsidR="00FE58E6" w:rsidRPr="004E4A0A">
              <w:t xml:space="preserve">Hudlicky M.: </w:t>
            </w:r>
            <w:r w:rsidR="00FE58E6" w:rsidRPr="004E4A0A">
              <w:rPr>
                <w:i/>
              </w:rPr>
              <w:t>Oxidations in Organic Chemistry</w:t>
            </w:r>
            <w:r w:rsidR="00FE58E6" w:rsidRPr="004E4A0A">
              <w:t xml:space="preserve">. </w:t>
            </w:r>
            <w:r w:rsidR="00FE58E6" w:rsidRPr="00362AD5">
              <w:rPr>
                <w:lang w:val="en-US"/>
              </w:rPr>
              <w:t xml:space="preserve">ACS Monograph 186. </w:t>
            </w:r>
            <w:r w:rsidR="00FE58E6" w:rsidRPr="00FE58E6">
              <w:rPr>
                <w:lang w:val="en-US"/>
              </w:rPr>
              <w:t>Washington,  1990</w:t>
            </w:r>
          </w:p>
        </w:tc>
      </w:tr>
    </w:tbl>
    <w:p w14:paraId="4742B585" w14:textId="7E4DA10D" w:rsidR="00C01834" w:rsidRPr="00FE58E6" w:rsidRDefault="00C01834" w:rsidP="00E55362">
      <w:pPr>
        <w:ind w:left="0" w:firstLine="0"/>
        <w:rPr>
          <w:color w:val="auto"/>
          <w:sz w:val="24"/>
          <w:szCs w:val="24"/>
          <w:lang w:val="en-US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CC6681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23A3CF9C" w:rsidR="00CC6681" w:rsidRPr="00C01834" w:rsidRDefault="00CC6681" w:rsidP="006D648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C.W10, C.W11, CW12, C.W13, C.W14,C.W24, C.W33, C.U9, C.U10, C.U11, C.U34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0740658D" w:rsidR="00CC6681" w:rsidRPr="00C01834" w:rsidRDefault="00CC6681" w:rsidP="006D648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egzamin pisemny </w:t>
            </w:r>
            <w:r w:rsidR="00C54BDF">
              <w:t xml:space="preserve">w formie pytań otwartych - </w:t>
            </w:r>
            <w:r>
              <w:t>25 pkt.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D4D5F2" w14:textId="5BDB0F4B" w:rsidR="00CC6681" w:rsidRDefault="00CC6681" w:rsidP="006D6488">
            <w:pPr>
              <w:spacing w:after="0" w:line="259" w:lineRule="auto"/>
              <w:ind w:left="0" w:firstLine="0"/>
              <w:jc w:val="center"/>
            </w:pPr>
            <w:r>
              <w:t>przygotowanie sprawozdań z syntez wybranych API</w:t>
            </w:r>
            <w:r w:rsidR="00DE35AD">
              <w:t>,</w:t>
            </w:r>
          </w:p>
          <w:p w14:paraId="3C208DBD" w14:textId="7DE69279" w:rsidR="00CC6681" w:rsidRDefault="00CC6681" w:rsidP="006D6488">
            <w:pPr>
              <w:spacing w:after="0" w:line="259" w:lineRule="auto"/>
              <w:ind w:left="0" w:firstLine="0"/>
              <w:jc w:val="center"/>
            </w:pPr>
            <w:r>
              <w:t>pozytywne oceny z kolokwiów</w:t>
            </w:r>
            <w:r w:rsidR="00DE35AD">
              <w:t>,</w:t>
            </w:r>
          </w:p>
          <w:p w14:paraId="06F1296B" w14:textId="33061FD2" w:rsidR="00CC6681" w:rsidRDefault="00CC6681" w:rsidP="006D6488">
            <w:pPr>
              <w:spacing w:after="0" w:line="259" w:lineRule="auto"/>
              <w:ind w:left="0" w:firstLine="0"/>
              <w:jc w:val="center"/>
            </w:pPr>
            <w:r>
              <w:t>pozytywna ocena z egzaminu pisemnego zawierającego</w:t>
            </w:r>
          </w:p>
          <w:p w14:paraId="6CCE8FD0" w14:textId="30228F20" w:rsidR="00CC6681" w:rsidRDefault="00CC6681" w:rsidP="006D6488">
            <w:pPr>
              <w:spacing w:after="0" w:line="259" w:lineRule="auto"/>
              <w:ind w:left="0" w:firstLine="0"/>
              <w:jc w:val="center"/>
            </w:pPr>
            <w:r>
              <w:t>5 pytań otwartych</w:t>
            </w:r>
            <w:r w:rsidR="009648D4">
              <w:t>,</w:t>
            </w:r>
          </w:p>
          <w:p w14:paraId="4D20FD21" w14:textId="0CFF9CB3" w:rsidR="00CC6681" w:rsidRPr="00C01834" w:rsidRDefault="00CC6681" w:rsidP="006D648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maksymalna liczba punktów 25 minimalna liczba punktów 16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84838B" w14:textId="7897AA31" w:rsidR="00CC6681" w:rsidRDefault="00CC6681" w:rsidP="00CC6681">
            <w:pPr>
              <w:spacing w:after="0" w:line="259" w:lineRule="auto"/>
              <w:ind w:left="0" w:right="235" w:firstLine="0"/>
            </w:pPr>
            <w:r>
              <w:t xml:space="preserve">Osoba odpowiedzialna za dydaktykę prof. dr hab. Jadwiga Turło, e-mail: </w:t>
            </w:r>
            <w:hyperlink r:id="rId11" w:history="1">
              <w:r w:rsidRPr="00BE00A2">
                <w:rPr>
                  <w:rStyle w:val="Hipercze"/>
                </w:rPr>
                <w:t>jadwiga.turlo@wum.edu.pl</w:t>
              </w:r>
            </w:hyperlink>
            <w:r>
              <w:t xml:space="preserve"> </w:t>
            </w:r>
          </w:p>
          <w:p w14:paraId="72D6D98C" w14:textId="7E9E371A" w:rsidR="00CD11EC" w:rsidRDefault="00CD11EC" w:rsidP="00CC6681">
            <w:pPr>
              <w:spacing w:after="0" w:line="259" w:lineRule="auto"/>
              <w:ind w:left="0" w:right="235" w:firstLine="0"/>
            </w:pPr>
            <w:r>
              <w:t xml:space="preserve">Link do strony internetowej: </w:t>
            </w:r>
            <w:hyperlink r:id="rId12" w:history="1">
              <w:r w:rsidRPr="00CD11EC">
                <w:rPr>
                  <w:rStyle w:val="Hipercze"/>
                </w:rPr>
                <w:t>https://tsl.wum.edu.pl/</w:t>
              </w:r>
            </w:hyperlink>
          </w:p>
          <w:p w14:paraId="60B75884" w14:textId="5156325C" w:rsidR="00CC6681" w:rsidRPr="00CD11EC" w:rsidRDefault="00CC6681" w:rsidP="00CC6681">
            <w:pPr>
              <w:spacing w:after="0" w:line="259" w:lineRule="auto"/>
              <w:ind w:left="0" w:right="235" w:firstLine="0"/>
              <w:rPr>
                <w:lang w:val="en-US"/>
              </w:rPr>
            </w:pPr>
            <w:r w:rsidRPr="00CD11EC">
              <w:rPr>
                <w:lang w:val="en-US"/>
              </w:rPr>
              <w:t xml:space="preserve">e-mail: </w:t>
            </w:r>
            <w:hyperlink r:id="rId13" w:history="1">
              <w:r w:rsidRPr="00CD11EC">
                <w:rPr>
                  <w:rStyle w:val="Hipercze"/>
                  <w:lang w:val="en-US"/>
                </w:rPr>
                <w:t>tsl@wum.edu.pl</w:t>
              </w:r>
            </w:hyperlink>
            <w:r w:rsidRPr="00CD11EC">
              <w:rPr>
                <w:lang w:val="en-US"/>
              </w:rPr>
              <w:t xml:space="preserve"> </w:t>
            </w:r>
          </w:p>
          <w:p w14:paraId="74CBA4E1" w14:textId="6B74F3FB" w:rsidR="00CC6681" w:rsidRDefault="00CC6681" w:rsidP="00CC6681">
            <w:pPr>
              <w:spacing w:after="0" w:line="259" w:lineRule="auto"/>
              <w:ind w:left="0" w:right="235" w:firstLine="0"/>
            </w:pPr>
            <w:r>
              <w:t xml:space="preserve">Przy </w:t>
            </w:r>
            <w:r w:rsidR="005D2BCE">
              <w:t xml:space="preserve">Katedrze i </w:t>
            </w:r>
            <w:r>
              <w:t xml:space="preserve">Zakładzie Technologii Leków i Biotechnologii Farmaceutycznej działa studenckie koło naukowe Syntezy Leków „Synthesis” . Studenci zgłaszający się na ćwiczenia mają obowiązek posiadać fartuch laboratoryjny oraz obuwie zamienne. </w:t>
            </w:r>
          </w:p>
          <w:p w14:paraId="43813F47" w14:textId="77777777" w:rsidR="00CC6681" w:rsidRDefault="00CC6681" w:rsidP="00CC6681">
            <w:pPr>
              <w:spacing w:after="0" w:line="259" w:lineRule="auto"/>
              <w:ind w:left="0" w:right="235" w:firstLine="0"/>
            </w:pPr>
            <w:r>
              <w:t xml:space="preserve">Warunkiem przystąpienia do ćwiczeń jest posiadanie aktualnego ubezpieczenia. </w:t>
            </w:r>
          </w:p>
          <w:p w14:paraId="30B95A91" w14:textId="77777777" w:rsidR="00C54BDF" w:rsidRDefault="00C54BDF" w:rsidP="00CC6681">
            <w:pPr>
              <w:spacing w:after="0" w:line="259" w:lineRule="auto"/>
              <w:ind w:left="0" w:right="235" w:firstLine="0"/>
            </w:pPr>
            <w:r>
              <w:t>Seminaria i ćwiczenia prowadzone są w formie stacjonarnej.</w:t>
            </w:r>
          </w:p>
          <w:p w14:paraId="0B3DF16E" w14:textId="77777777" w:rsidR="00A33968" w:rsidRDefault="00CC6681" w:rsidP="00CC6681">
            <w:pPr>
              <w:spacing w:after="0" w:line="259" w:lineRule="auto"/>
              <w:ind w:left="0" w:right="235" w:firstLine="0"/>
            </w:pPr>
            <w:r>
              <w:t xml:space="preserve">Przedmiot  zaliczany jest w sesji </w:t>
            </w:r>
            <w:r w:rsidR="00C54BDF">
              <w:t>zimowej</w:t>
            </w:r>
            <w:r>
              <w:t>, w formie egzaminu pisemnego. Kryterium dopuszczenia do egzaminu obejmuje zaliczenie</w:t>
            </w:r>
            <w:r w:rsidR="00CD11EC">
              <w:t xml:space="preserve"> dwóch</w:t>
            </w:r>
            <w:r>
              <w:t xml:space="preserve"> kolokwiów</w:t>
            </w:r>
            <w:r w:rsidR="00CD11EC">
              <w:t xml:space="preserve"> (w przypadku niezaliczenia kolokwium w pierwszym terminie, przewiduje się termin dodatkowy)</w:t>
            </w:r>
            <w:r>
              <w:t xml:space="preserve"> i ćwiczeń (wykonanie zadanych preparatów oraz przedłożenie sprawozdania). Egzamin pisemny zawiera 5 pytań otwartych, obejmujących zagadnienia omawiane na seminariach oraz syntezy środków leczniczych. Każde pytanie punktowane jest w skali od 0 do 5. Średnia liczba uzyskanych punktów decyduje o ocenie. Ocena, kryteria 2,0 (ndst) poniżej 16 pkt. , 3,0 (dost) 16 – 17 pkt..  3,5 (ddb) 18 – 19 pkt.,  4,0 (db) 20 – 21 pkt.,    4,5 (pdb) 22 – 23 pkt.,  5,0 (bdb) 24 – 25 pkt. </w:t>
            </w:r>
          </w:p>
          <w:p w14:paraId="33517FA5" w14:textId="227E1A70" w:rsidR="00A33968" w:rsidRDefault="00A33968" w:rsidP="00A33968">
            <w:pPr>
              <w:spacing w:after="0" w:line="259" w:lineRule="auto"/>
              <w:ind w:left="0" w:right="235" w:firstLine="0"/>
            </w:pPr>
            <w:r>
              <w:t xml:space="preserve">Nieprzystąpienie do egzaminu w ustalonym terminie bez usprawiedliwienia jest równoznaczne z uzyskaniem oceny niedostatecznej. W przypadku niezdania egzaminu w I  terminie, student może przystąpić do II terminu w najbliższej sesji poprawkowej bądź za zgodą Dziekana w innym terminie. W przypadku uzyskania oceny niedostatecznej w pierwszym i drugim terminie student ma prawo wystąpić do Dziekana </w:t>
            </w:r>
            <w:r w:rsidR="002879B7">
              <w:t xml:space="preserve">w ciągu 7 dni od daty egzaminu </w:t>
            </w:r>
            <w:r>
              <w:t>o zgodę na przystąpienie do egzaminu komisyjnego.</w:t>
            </w:r>
          </w:p>
          <w:p w14:paraId="71D3F7F8" w14:textId="77777777" w:rsidR="00CC6681" w:rsidRDefault="00A33968" w:rsidP="00A33968">
            <w:pPr>
              <w:spacing w:after="0" w:line="259" w:lineRule="auto"/>
              <w:ind w:left="0" w:right="235" w:firstLine="0"/>
            </w:pPr>
            <w:r>
              <w:t xml:space="preserve">W przypadku usprawiedliwionej nieobecności na egzaminie, studentowi przysługuje dodatkowy termin egzaminacyjny. O przyczynie nieprzystąpienia do egzaminu student powiadamia egzaminatora najpóźniej w ciągu trzech dni roboczych po terminie egzaminu. Zaświadczenie lekarskie usprawiedliwiające nieobecność, student dostarcza do egzaminatora w terminie 7 dni roboczych od dnia wystawienia zaświadczenia, ale nie później niż w ciągu trzech dni roboczych po terminie egzaminu. Dodatkowy termin egzaminu ustala egzaminator w porozumieniu z Dziekanem. Egzamin taki traktuje się jako składany w pierwszym terminie. </w:t>
            </w:r>
          </w:p>
          <w:p w14:paraId="677E6E8D" w14:textId="10B5DA05" w:rsidR="00A33968" w:rsidRPr="00C01834" w:rsidRDefault="00A33968" w:rsidP="00A33968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t xml:space="preserve">Egzaminy poprawkowe i komisyjne student obowiązany jest złożyć do końca okresu zaliczeniowego. </w:t>
            </w:r>
          </w:p>
        </w:tc>
      </w:tr>
    </w:tbl>
    <w:p w14:paraId="784C9FA1" w14:textId="77777777" w:rsidR="00BE00A2" w:rsidRPr="00A97D1F" w:rsidRDefault="00BE00A2" w:rsidP="00BE00A2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94CFB0" wp14:editId="1DF05181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D1F8" w14:textId="77777777" w:rsidR="00BE00A2" w:rsidRPr="008E78CF" w:rsidRDefault="00BE00A2" w:rsidP="00BE00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4050D6C8" w14:textId="77777777" w:rsidR="00BE00A2" w:rsidRDefault="00BE00A2" w:rsidP="00BE00A2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4CFB0" id="_x0000_s1027" type="#_x0000_t202" style="position:absolute;margin-left:-7.25pt;margin-top:637.15pt;width:51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0631D1F8" w14:textId="77777777" w:rsidR="00BE00A2" w:rsidRPr="008E78CF" w:rsidRDefault="00BE00A2" w:rsidP="00BE00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4050D6C8" w14:textId="77777777" w:rsidR="00BE00A2" w:rsidRDefault="00BE00A2" w:rsidP="00BE00A2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4545148A" w:rsidR="00F016D9" w:rsidRPr="00A97D1F" w:rsidRDefault="00F016D9" w:rsidP="00BE00A2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sectPr w:rsidR="00F016D9" w:rsidRPr="00A97D1F" w:rsidSect="00BE00A2">
      <w:footerReference w:type="even" r:id="rId14"/>
      <w:footerReference w:type="default" r:id="rId15"/>
      <w:footerReference w:type="first" r:id="rId16"/>
      <w:pgSz w:w="11906" w:h="16838" w:code="9"/>
      <w:pgMar w:top="1134" w:right="851" w:bottom="1276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B870" w14:textId="77777777" w:rsidR="00052B74" w:rsidRDefault="00052B74">
      <w:pPr>
        <w:spacing w:after="0" w:line="240" w:lineRule="auto"/>
      </w:pPr>
      <w:r>
        <w:separator/>
      </w:r>
    </w:p>
  </w:endnote>
  <w:endnote w:type="continuationSeparator" w:id="0">
    <w:p w14:paraId="1480E15C" w14:textId="77777777" w:rsidR="00052B74" w:rsidRDefault="0005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94A0" w14:textId="77777777" w:rsidR="00052B74" w:rsidRDefault="00052B74">
      <w:pPr>
        <w:spacing w:after="0" w:line="240" w:lineRule="auto"/>
      </w:pPr>
      <w:r>
        <w:separator/>
      </w:r>
    </w:p>
  </w:footnote>
  <w:footnote w:type="continuationSeparator" w:id="0">
    <w:p w14:paraId="73B77C8E" w14:textId="77777777" w:rsidR="00052B74" w:rsidRDefault="00052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887"/>
    <w:multiLevelType w:val="hybridMultilevel"/>
    <w:tmpl w:val="EFDA2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3"/>
  </w:num>
  <w:num w:numId="2" w16cid:durableId="2050952466">
    <w:abstractNumId w:val="2"/>
  </w:num>
  <w:num w:numId="3" w16cid:durableId="1419667679">
    <w:abstractNumId w:val="0"/>
  </w:num>
  <w:num w:numId="4" w16cid:durableId="13927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52B74"/>
    <w:rsid w:val="00065161"/>
    <w:rsid w:val="000825E9"/>
    <w:rsid w:val="000A61A5"/>
    <w:rsid w:val="000B6530"/>
    <w:rsid w:val="000C639F"/>
    <w:rsid w:val="000E7357"/>
    <w:rsid w:val="00133592"/>
    <w:rsid w:val="00141A71"/>
    <w:rsid w:val="00160769"/>
    <w:rsid w:val="00174DBA"/>
    <w:rsid w:val="00181CEC"/>
    <w:rsid w:val="001A2B58"/>
    <w:rsid w:val="001B4491"/>
    <w:rsid w:val="001C78B8"/>
    <w:rsid w:val="001D6219"/>
    <w:rsid w:val="001E63CB"/>
    <w:rsid w:val="001F028B"/>
    <w:rsid w:val="002066C4"/>
    <w:rsid w:val="002453B1"/>
    <w:rsid w:val="002879B7"/>
    <w:rsid w:val="00292303"/>
    <w:rsid w:val="002F3B26"/>
    <w:rsid w:val="00315DA3"/>
    <w:rsid w:val="0033275B"/>
    <w:rsid w:val="0035040A"/>
    <w:rsid w:val="00382A13"/>
    <w:rsid w:val="003A2874"/>
    <w:rsid w:val="00401416"/>
    <w:rsid w:val="00417C37"/>
    <w:rsid w:val="00422398"/>
    <w:rsid w:val="00427F40"/>
    <w:rsid w:val="004448F5"/>
    <w:rsid w:val="004510AC"/>
    <w:rsid w:val="00470E8F"/>
    <w:rsid w:val="00476558"/>
    <w:rsid w:val="00477321"/>
    <w:rsid w:val="004E4A0A"/>
    <w:rsid w:val="00514AEF"/>
    <w:rsid w:val="0052528C"/>
    <w:rsid w:val="005818F5"/>
    <w:rsid w:val="00590D10"/>
    <w:rsid w:val="005944D4"/>
    <w:rsid w:val="005D2BCE"/>
    <w:rsid w:val="0064087A"/>
    <w:rsid w:val="006A442B"/>
    <w:rsid w:val="006B012B"/>
    <w:rsid w:val="006C524C"/>
    <w:rsid w:val="006D018B"/>
    <w:rsid w:val="006D6488"/>
    <w:rsid w:val="00724BB4"/>
    <w:rsid w:val="00724F33"/>
    <w:rsid w:val="00730239"/>
    <w:rsid w:val="00732CF5"/>
    <w:rsid w:val="007551F0"/>
    <w:rsid w:val="00762EFF"/>
    <w:rsid w:val="007864BC"/>
    <w:rsid w:val="00792FD5"/>
    <w:rsid w:val="007957B0"/>
    <w:rsid w:val="00857E3C"/>
    <w:rsid w:val="008602B3"/>
    <w:rsid w:val="00861D21"/>
    <w:rsid w:val="0087023D"/>
    <w:rsid w:val="008A2F0E"/>
    <w:rsid w:val="008B0D5F"/>
    <w:rsid w:val="008D2A3B"/>
    <w:rsid w:val="008E592D"/>
    <w:rsid w:val="00900EC6"/>
    <w:rsid w:val="00901188"/>
    <w:rsid w:val="009235E5"/>
    <w:rsid w:val="009369F0"/>
    <w:rsid w:val="009648D4"/>
    <w:rsid w:val="009B62DF"/>
    <w:rsid w:val="009D2B02"/>
    <w:rsid w:val="009E635F"/>
    <w:rsid w:val="009F6016"/>
    <w:rsid w:val="009F657E"/>
    <w:rsid w:val="00A3096F"/>
    <w:rsid w:val="00A33968"/>
    <w:rsid w:val="00A42ACC"/>
    <w:rsid w:val="00A53D6A"/>
    <w:rsid w:val="00A63CE6"/>
    <w:rsid w:val="00A97D1F"/>
    <w:rsid w:val="00AD2F54"/>
    <w:rsid w:val="00AE2137"/>
    <w:rsid w:val="00B44E53"/>
    <w:rsid w:val="00B5341A"/>
    <w:rsid w:val="00B5568B"/>
    <w:rsid w:val="00B8221A"/>
    <w:rsid w:val="00B93718"/>
    <w:rsid w:val="00B973EC"/>
    <w:rsid w:val="00BB23E6"/>
    <w:rsid w:val="00BE00A2"/>
    <w:rsid w:val="00BF74E9"/>
    <w:rsid w:val="00BF7BFD"/>
    <w:rsid w:val="00C01834"/>
    <w:rsid w:val="00C174A8"/>
    <w:rsid w:val="00C24D59"/>
    <w:rsid w:val="00C54BDF"/>
    <w:rsid w:val="00C92ECE"/>
    <w:rsid w:val="00CA3ACF"/>
    <w:rsid w:val="00CC6681"/>
    <w:rsid w:val="00CD11EC"/>
    <w:rsid w:val="00D147A3"/>
    <w:rsid w:val="00D320E0"/>
    <w:rsid w:val="00D56CEB"/>
    <w:rsid w:val="00D8323A"/>
    <w:rsid w:val="00D928FC"/>
    <w:rsid w:val="00D93A54"/>
    <w:rsid w:val="00DE35AD"/>
    <w:rsid w:val="00DF679B"/>
    <w:rsid w:val="00E165E7"/>
    <w:rsid w:val="00E4791B"/>
    <w:rsid w:val="00E55362"/>
    <w:rsid w:val="00E6064C"/>
    <w:rsid w:val="00E817B4"/>
    <w:rsid w:val="00E91F4C"/>
    <w:rsid w:val="00E93D1D"/>
    <w:rsid w:val="00EB4E6F"/>
    <w:rsid w:val="00EE6DD6"/>
    <w:rsid w:val="00EF1F36"/>
    <w:rsid w:val="00F016D9"/>
    <w:rsid w:val="00F23FFA"/>
    <w:rsid w:val="00F279F4"/>
    <w:rsid w:val="00F55016"/>
    <w:rsid w:val="00FC2D6C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6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l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l.wum.edu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zenna.klimaszewsk\Downloads\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ciej.dawidowski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dawidowski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21</cp:revision>
  <cp:lastPrinted>2020-02-05T09:19:00Z</cp:lastPrinted>
  <dcterms:created xsi:type="dcterms:W3CDTF">2023-09-06T12:44:00Z</dcterms:created>
  <dcterms:modified xsi:type="dcterms:W3CDTF">2023-09-25T12:10:00Z</dcterms:modified>
</cp:coreProperties>
</file>